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830" w:type="dxa"/>
        <w:tblInd w:w="-720" w:type="dxa"/>
        <w:tblLayout w:type="fixed"/>
        <w:tblCellMar>
          <w:top w:w="0" w:type="dxa"/>
          <w:left w:w="108" w:type="dxa"/>
          <w:bottom w:w="0" w:type="dxa"/>
          <w:right w:w="108" w:type="dxa"/>
        </w:tblCellMar>
      </w:tblPr>
      <w:tblGrid>
        <w:gridCol w:w="879"/>
        <w:gridCol w:w="798"/>
        <w:gridCol w:w="1128"/>
        <w:gridCol w:w="2720"/>
        <w:gridCol w:w="282"/>
        <w:gridCol w:w="5023"/>
      </w:tblGrid>
      <w:tr>
        <w:tblPrEx>
          <w:tblCellMar>
            <w:top w:w="0" w:type="dxa"/>
            <w:left w:w="108" w:type="dxa"/>
            <w:bottom w:w="0" w:type="dxa"/>
            <w:right w:w="108" w:type="dxa"/>
          </w:tblCellMar>
        </w:tblPrEx>
        <w:trPr>
          <w:trHeight w:val="504" w:hRule="atLeast"/>
        </w:trPr>
        <w:tc>
          <w:tcPr>
            <w:tcW w:w="10830"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90" w:hRule="atLeast"/>
        </w:trPr>
        <w:tc>
          <w:tcPr>
            <w:tcW w:w="10830" w:type="dxa"/>
            <w:gridSpan w:val="6"/>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8"/>
                <w:rFonts w:hint="default"/>
                <w:color w:val="auto"/>
              </w:rPr>
              <w:t>年度）</w:t>
            </w:r>
          </w:p>
        </w:tc>
      </w:tr>
      <w:tr>
        <w:tblPrEx>
          <w:tblCellMar>
            <w:top w:w="0" w:type="dxa"/>
            <w:left w:w="108" w:type="dxa"/>
            <w:bottom w:w="0" w:type="dxa"/>
            <w:right w:w="108" w:type="dxa"/>
          </w:tblCellMar>
        </w:tblPrEx>
        <w:trPr>
          <w:trHeight w:val="384" w:hRule="atLeast"/>
        </w:trPr>
        <w:tc>
          <w:tcPr>
            <w:tcW w:w="10830" w:type="dxa"/>
            <w:gridSpan w:val="6"/>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290"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项目名称</w:t>
            </w:r>
          </w:p>
        </w:tc>
        <w:tc>
          <w:tcPr>
            <w:tcW w:w="91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r>
              <w:rPr>
                <w:rFonts w:ascii="Times New Roman" w:hAnsi="Times New Roman" w:eastAsia="宋体" w:cs="Times New Roman"/>
                <w:sz w:val="24"/>
              </w:rPr>
              <w:t>城乡居民社会养老保险补助资金</w:t>
            </w:r>
          </w:p>
        </w:tc>
      </w:tr>
      <w:tr>
        <w:tblPrEx>
          <w:tblCellMar>
            <w:top w:w="0" w:type="dxa"/>
            <w:left w:w="108" w:type="dxa"/>
            <w:bottom w:w="0" w:type="dxa"/>
            <w:right w:w="108" w:type="dxa"/>
          </w:tblCellMar>
        </w:tblPrEx>
        <w:trPr>
          <w:trHeight w:val="290"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预算单位</w:t>
            </w:r>
          </w:p>
        </w:tc>
        <w:tc>
          <w:tcPr>
            <w:tcW w:w="91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r>
              <w:rPr>
                <w:rFonts w:ascii="Times New Roman" w:hAnsi="Times New Roman" w:eastAsia="宋体" w:cs="Times New Roman"/>
                <w:sz w:val="24"/>
              </w:rPr>
              <w:t>攀枝花市仁和区人力资源和社会保障局</w:t>
            </w:r>
          </w:p>
        </w:tc>
      </w:tr>
      <w:tr>
        <w:tblPrEx>
          <w:tblCellMar>
            <w:top w:w="0" w:type="dxa"/>
            <w:left w:w="108" w:type="dxa"/>
            <w:bottom w:w="0" w:type="dxa"/>
            <w:right w:w="108" w:type="dxa"/>
          </w:tblCellMar>
        </w:tblPrEx>
        <w:trPr>
          <w:trHeight w:val="90" w:hRule="atLeast"/>
        </w:trPr>
        <w:tc>
          <w:tcPr>
            <w:tcW w:w="16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项目资金</w:t>
            </w:r>
            <w:r>
              <w:rPr>
                <w:rFonts w:ascii="Times New Roman" w:hAnsi="Times New Roman" w:eastAsia="宋体" w:cs="Times New Roman"/>
                <w:kern w:val="0"/>
                <w:sz w:val="24"/>
              </w:rPr>
              <w:br w:type="textWrapping"/>
            </w:r>
            <w:r>
              <w:rPr>
                <w:rFonts w:ascii="Times New Roman" w:hAnsi="Times New Roman" w:eastAsia="宋体" w:cs="Times New Roman"/>
                <w:kern w:val="0"/>
                <w:sz w:val="24"/>
              </w:rPr>
              <w:t>（万元）</w:t>
            </w: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sz w:val="24"/>
              </w:rPr>
            </w:pPr>
            <w:r>
              <w:rPr>
                <w:rFonts w:ascii="Times New Roman" w:hAnsi="Times New Roman" w:eastAsia="宋体" w:cs="Times New Roman"/>
                <w:kern w:val="0"/>
                <w:sz w:val="24"/>
              </w:rPr>
              <w:t>年度资金总额:</w:t>
            </w:r>
          </w:p>
        </w:tc>
        <w:tc>
          <w:tcPr>
            <w:tcW w:w="5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646</w:t>
            </w:r>
            <w:r>
              <w:rPr>
                <w:rFonts w:hint="eastAsia" w:ascii="Times New Roman" w:hAnsi="Times New Roman" w:eastAsia="宋体" w:cs="Times New Roman"/>
                <w:sz w:val="24"/>
              </w:rPr>
              <w:t>.00</w:t>
            </w:r>
          </w:p>
        </w:tc>
      </w:tr>
      <w:tr>
        <w:tblPrEx>
          <w:tblCellMar>
            <w:top w:w="0" w:type="dxa"/>
            <w:left w:w="108" w:type="dxa"/>
            <w:bottom w:w="0" w:type="dxa"/>
            <w:right w:w="108" w:type="dxa"/>
          </w:tblCellMar>
        </w:tblPrEx>
        <w:trPr>
          <w:trHeight w:val="320"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sz w:val="24"/>
              </w:rPr>
            </w:pPr>
            <w:r>
              <w:rPr>
                <w:rFonts w:ascii="Times New Roman" w:hAnsi="Times New Roman" w:eastAsia="宋体" w:cs="Times New Roman"/>
                <w:kern w:val="0"/>
                <w:sz w:val="24"/>
              </w:rPr>
              <w:t>其中：财政拨款</w:t>
            </w:r>
          </w:p>
        </w:tc>
        <w:tc>
          <w:tcPr>
            <w:tcW w:w="5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646</w:t>
            </w:r>
            <w:r>
              <w:rPr>
                <w:rFonts w:hint="eastAsia" w:ascii="Times New Roman" w:hAnsi="Times New Roman" w:eastAsia="宋体" w:cs="Times New Roman"/>
                <w:sz w:val="24"/>
              </w:rPr>
              <w:t>.00</w:t>
            </w:r>
          </w:p>
        </w:tc>
      </w:tr>
      <w:tr>
        <w:tblPrEx>
          <w:tblCellMar>
            <w:top w:w="0" w:type="dxa"/>
            <w:left w:w="108" w:type="dxa"/>
            <w:bottom w:w="0" w:type="dxa"/>
            <w:right w:w="108" w:type="dxa"/>
          </w:tblCellMar>
        </w:tblPrEx>
        <w:trPr>
          <w:trHeight w:val="305"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Times New Roman" w:hAnsi="Times New Roman" w:eastAsia="宋体" w:cs="Times New Roman"/>
                <w:sz w:val="24"/>
              </w:rPr>
            </w:pPr>
            <w:r>
              <w:rPr>
                <w:rFonts w:ascii="Times New Roman" w:hAnsi="Times New Roman" w:eastAsia="宋体" w:cs="Times New Roman"/>
                <w:kern w:val="0"/>
                <w:sz w:val="24"/>
              </w:rPr>
              <w:t>其他资金</w:t>
            </w:r>
          </w:p>
        </w:tc>
        <w:tc>
          <w:tcPr>
            <w:tcW w:w="50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r>
      <w:tr>
        <w:tblPrEx>
          <w:tblCellMar>
            <w:top w:w="0" w:type="dxa"/>
            <w:left w:w="108" w:type="dxa"/>
            <w:bottom w:w="0" w:type="dxa"/>
            <w:right w:w="108" w:type="dxa"/>
          </w:tblCellMar>
        </w:tblPrEx>
        <w:trPr>
          <w:trHeight w:val="341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总</w:t>
            </w:r>
            <w:r>
              <w:rPr>
                <w:rFonts w:ascii="Times New Roman" w:hAnsi="Times New Roman" w:eastAsia="宋体" w:cs="Times New Roman"/>
                <w:kern w:val="0"/>
                <w:sz w:val="24"/>
              </w:rPr>
              <w:br w:type="textWrapping"/>
            </w:r>
            <w:r>
              <w:rPr>
                <w:rFonts w:ascii="Times New Roman" w:hAnsi="Times New Roman" w:eastAsia="宋体" w:cs="Times New Roman"/>
                <w:kern w:val="0"/>
                <w:sz w:val="24"/>
              </w:rPr>
              <w:t>体</w:t>
            </w:r>
            <w:r>
              <w:rPr>
                <w:rFonts w:ascii="Times New Roman" w:hAnsi="Times New Roman" w:eastAsia="宋体" w:cs="Times New Roman"/>
                <w:kern w:val="0"/>
                <w:sz w:val="24"/>
              </w:rPr>
              <w:br w:type="textWrapping"/>
            </w:r>
            <w:r>
              <w:rPr>
                <w:rFonts w:ascii="Times New Roman" w:hAnsi="Times New Roman" w:eastAsia="宋体" w:cs="Times New Roman"/>
                <w:kern w:val="0"/>
                <w:sz w:val="24"/>
              </w:rPr>
              <w:t>目</w:t>
            </w:r>
            <w:r>
              <w:rPr>
                <w:rFonts w:ascii="Times New Roman" w:hAnsi="Times New Roman" w:eastAsia="宋体" w:cs="Times New Roman"/>
                <w:kern w:val="0"/>
                <w:sz w:val="24"/>
              </w:rPr>
              <w:br w:type="textWrapping"/>
            </w:r>
            <w:r>
              <w:rPr>
                <w:rFonts w:ascii="Times New Roman" w:hAnsi="Times New Roman" w:eastAsia="宋体" w:cs="Times New Roman"/>
                <w:kern w:val="0"/>
                <w:sz w:val="24"/>
              </w:rPr>
              <w:t>标</w:t>
            </w:r>
          </w:p>
        </w:tc>
        <w:tc>
          <w:tcPr>
            <w:tcW w:w="995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Times New Roman" w:hAnsi="Times New Roman" w:eastAsia="宋体" w:cs="Times New Roman"/>
                <w:sz w:val="24"/>
              </w:rPr>
            </w:pPr>
            <w:r>
              <w:rPr>
                <w:rFonts w:ascii="Times New Roman" w:hAnsi="Times New Roman" w:eastAsia="宋体" w:cs="Times New Roman"/>
                <w:sz w:val="24"/>
              </w:rPr>
              <w:t>攀办发[2014]48号关于印发《攀枝花市城乡居民基本养老保险实施办法通知》的通知、《四川省人力资源和社会保障厅四川省财政厅关于印发&lt;四川省完善城乡居民基本养老保险制度的实施方案&gt;的通知》（川人社发〔2020〕10号）《四川省人力资源和社会保障厅四川省财政厅关于进一步完善城乡居民基本养老保险制度的通知》（川人社发〔2022〕20号）《四川省人力资源和社会保障厅四川省财政厅关于2025年提高城乡居民基本养老保险基础养老金最低标准的通知(川人社规〔2025〕16号)等。按照国家、省、市、区的统一安排和布署，统筹推进，确保我区城乡居民养老保险制度全面实施，实现各种养老保险制度相互衔接、可转移，达到全覆盖的社会保障制度。全面完成省、市、区政府下达的各项工作目标任务。及时办理城乡居民参保登记、待遇核定及发放管理等各项目标任务。认真做好老百姓政策咨询和参保信息查询等工作。</w:t>
            </w:r>
          </w:p>
        </w:tc>
      </w:tr>
      <w:tr>
        <w:tblPrEx>
          <w:tblCellMar>
            <w:top w:w="0" w:type="dxa"/>
            <w:left w:w="108" w:type="dxa"/>
            <w:bottom w:w="0" w:type="dxa"/>
            <w:right w:w="108" w:type="dxa"/>
          </w:tblCellMar>
        </w:tblPrEx>
        <w:trPr>
          <w:trHeight w:val="56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绩效指标</w:t>
            </w:r>
          </w:p>
        </w:tc>
        <w:tc>
          <w:tcPr>
            <w:tcW w:w="7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一级</w:t>
            </w:r>
            <w:r>
              <w:rPr>
                <w:rFonts w:ascii="Times New Roman" w:hAnsi="Times New Roman" w:eastAsia="宋体" w:cs="Times New Roman"/>
                <w:kern w:val="0"/>
                <w:sz w:val="24"/>
              </w:rPr>
              <w:br w:type="textWrapping"/>
            </w:r>
            <w:r>
              <w:rPr>
                <w:rFonts w:ascii="Times New Roman" w:hAnsi="Times New Roman" w:eastAsia="宋体" w:cs="Times New Roman"/>
                <w:kern w:val="0"/>
                <w:sz w:val="24"/>
              </w:rPr>
              <w:t>指标</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二级指标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三级指标</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指标值（包含数字及文字描述）</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项目完成</w:t>
            </w:r>
          </w:p>
        </w:tc>
        <w:tc>
          <w:tcPr>
            <w:tcW w:w="112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数量指标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入口补贴：缴费人数（含政府代缴）</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预计缴费人数（含政府代缴）3.25万人，按实际人数缴纳拨付</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11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Times New Roman" w:hAnsi="Times New Roman" w:eastAsia="宋体" w:cs="Times New Roman"/>
                <w:sz w:val="24"/>
              </w:rPr>
            </w:pP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出口补贴：享受待遇人数</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预计享受待遇人数2.44万人，按实际人数拨付</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112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质量指标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实现养老保险全覆盖的社会保障制度</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确保我区城乡居民养老保险制度全面实施，实现各种养老保险制度相互衔接、可转移，达到全覆盖的社会保障制度</w:t>
            </w:r>
          </w:p>
        </w:tc>
      </w:tr>
      <w:tr>
        <w:tblPrEx>
          <w:tblCellMar>
            <w:top w:w="0" w:type="dxa"/>
            <w:left w:w="108" w:type="dxa"/>
            <w:bottom w:w="0" w:type="dxa"/>
            <w:right w:w="108" w:type="dxa"/>
          </w:tblCellMar>
        </w:tblPrEx>
        <w:trPr>
          <w:trHeight w:val="41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时效指标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按工作计划</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2026年全年</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1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成本指标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入口补贴</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2025年预计缴费人数3.25万人，区财政补助资金40.5万元。其中： 1、个人缴费补贴35.5万元。2、轻度残疾人及独生子女伤残死亡家庭等缴费补贴5万元。按实际人数缴纳拨付</w:t>
            </w:r>
          </w:p>
        </w:tc>
      </w:tr>
      <w:tr>
        <w:tblPrEx>
          <w:tblCellMar>
            <w:top w:w="0" w:type="dxa"/>
            <w:left w:w="108" w:type="dxa"/>
            <w:bottom w:w="0" w:type="dxa"/>
            <w:right w:w="108" w:type="dxa"/>
          </w:tblCellMar>
        </w:tblPrEx>
        <w:trPr>
          <w:trHeight w:val="1361"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出口补贴</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2025年预计待遇领取人数2.44万人，区财政补助资金605.5万元。其中：1、基础养老金补助498.58万元(23500人）。2、丧葬费和抚恤金106.92万元(900人）。按实际人数拨付</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ascii="Times New Roman" w:hAnsi="Times New Roman" w:eastAsia="宋体" w:cs="Times New Roman"/>
                <w:sz w:val="24"/>
              </w:rPr>
            </w:pPr>
            <w:r>
              <w:rPr>
                <w:rFonts w:ascii="Times New Roman" w:hAnsi="Times New Roman" w:eastAsia="宋体" w:cs="Times New Roman"/>
                <w:sz w:val="24"/>
              </w:rPr>
              <w:t>项目效益</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社会效益</w:t>
            </w:r>
            <w:r>
              <w:rPr>
                <w:rFonts w:ascii="Times New Roman" w:hAnsi="Times New Roman" w:eastAsia="宋体" w:cs="Times New Roman"/>
                <w:kern w:val="0"/>
                <w:sz w:val="24"/>
              </w:rPr>
              <w:br w:type="textWrapping"/>
            </w:r>
            <w:r>
              <w:rPr>
                <w:rFonts w:ascii="Times New Roman" w:hAnsi="Times New Roman" w:eastAsia="宋体" w:cs="Times New Roman"/>
                <w:kern w:val="0"/>
                <w:sz w:val="24"/>
              </w:rPr>
              <w:t>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让城乡居民都享有社保</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bottom"/>
          </w:tcPr>
          <w:p>
            <w:pPr>
              <w:rPr>
                <w:rFonts w:ascii="Times New Roman" w:hAnsi="Times New Roman" w:eastAsia="宋体" w:cs="Times New Roman"/>
                <w:sz w:val="24"/>
              </w:rPr>
            </w:pPr>
            <w:r>
              <w:rPr>
                <w:rFonts w:ascii="Times New Roman" w:hAnsi="Times New Roman" w:eastAsia="宋体" w:cs="Times New Roman"/>
                <w:sz w:val="24"/>
              </w:rPr>
              <w:t>为人民群众生活提供保障，保持社会和谐稳定发展</w:t>
            </w:r>
          </w:p>
        </w:tc>
      </w:tr>
      <w:tr>
        <w:tblPrEx>
          <w:tblCellMar>
            <w:top w:w="0" w:type="dxa"/>
            <w:left w:w="108" w:type="dxa"/>
            <w:bottom w:w="0" w:type="dxa"/>
            <w:right w:w="108" w:type="dxa"/>
          </w:tblCellMar>
        </w:tblPrEx>
        <w:trPr>
          <w:trHeight w:val="107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sz w:val="24"/>
              </w:rPr>
            </w:pPr>
          </w:p>
        </w:tc>
        <w:tc>
          <w:tcPr>
            <w:tcW w:w="7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满意度指标</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满意度指标</w:t>
            </w:r>
          </w:p>
        </w:tc>
        <w:tc>
          <w:tcPr>
            <w:tcW w:w="27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ascii="Times New Roman" w:hAnsi="Times New Roman" w:eastAsia="宋体" w:cs="Times New Roman"/>
                <w:sz w:val="24"/>
              </w:rPr>
              <w:t>群众满意度</w:t>
            </w:r>
          </w:p>
        </w:tc>
        <w:tc>
          <w:tcPr>
            <w:tcW w:w="53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Times New Roman" w:hAnsi="Times New Roman" w:eastAsia="宋体" w:cs="Times New Roman"/>
                <w:sz w:val="24"/>
              </w:rPr>
            </w:pPr>
            <w:r>
              <w:rPr>
                <w:rFonts w:hint="eastAsia" w:ascii="Times New Roman" w:hAnsi="Times New Roman" w:eastAsia="宋体" w:cs="Times New Roman"/>
                <w:sz w:val="24"/>
                <w:lang w:eastAsia="zh-CN"/>
              </w:rPr>
              <w:t>≥</w:t>
            </w:r>
            <w:r>
              <w:rPr>
                <w:rFonts w:ascii="Times New Roman" w:hAnsi="Times New Roman" w:eastAsia="宋体" w:cs="Times New Roman"/>
                <w:sz w:val="24"/>
              </w:rPr>
              <w:t>95%</w:t>
            </w:r>
          </w:p>
        </w:tc>
      </w:tr>
    </w:tbl>
    <w:p/>
    <w:p/>
    <w:p/>
    <w:tbl>
      <w:tblPr>
        <w:tblStyle w:val="5"/>
        <w:tblW w:w="10575" w:type="dxa"/>
        <w:tblInd w:w="-719" w:type="dxa"/>
        <w:tblLayout w:type="fixed"/>
        <w:tblCellMar>
          <w:top w:w="0" w:type="dxa"/>
          <w:left w:w="108" w:type="dxa"/>
          <w:bottom w:w="0" w:type="dxa"/>
          <w:right w:w="108" w:type="dxa"/>
        </w:tblCellMar>
      </w:tblPr>
      <w:tblGrid>
        <w:gridCol w:w="879"/>
        <w:gridCol w:w="798"/>
        <w:gridCol w:w="1287"/>
        <w:gridCol w:w="2843"/>
        <w:gridCol w:w="1182"/>
        <w:gridCol w:w="3586"/>
      </w:tblGrid>
      <w:tr>
        <w:tblPrEx>
          <w:tblCellMar>
            <w:top w:w="0" w:type="dxa"/>
            <w:left w:w="108" w:type="dxa"/>
            <w:bottom w:w="0" w:type="dxa"/>
            <w:right w:w="108" w:type="dxa"/>
          </w:tblCellMar>
        </w:tblPrEx>
        <w:trPr>
          <w:trHeight w:val="504" w:hRule="atLeast"/>
        </w:trPr>
        <w:tc>
          <w:tcPr>
            <w:tcW w:w="10575" w:type="dxa"/>
            <w:gridSpan w:val="6"/>
            <w:tcBorders>
              <w:top w:val="nil"/>
              <w:left w:val="nil"/>
              <w:bottom w:val="nil"/>
              <w:right w:val="nil"/>
            </w:tcBorders>
            <w:shd w:val="clear" w:color="auto" w:fill="auto"/>
            <w:vAlign w:val="center"/>
          </w:tcPr>
          <w:p>
            <w:pPr>
              <w:widowControl/>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特定目标类项目支出绩效目标申报表</w:t>
            </w:r>
          </w:p>
        </w:tc>
      </w:tr>
      <w:tr>
        <w:tblPrEx>
          <w:tblCellMar>
            <w:top w:w="0" w:type="dxa"/>
            <w:left w:w="108" w:type="dxa"/>
            <w:bottom w:w="0" w:type="dxa"/>
            <w:right w:w="108" w:type="dxa"/>
          </w:tblCellMar>
        </w:tblPrEx>
        <w:trPr>
          <w:trHeight w:val="90" w:hRule="atLeast"/>
        </w:trPr>
        <w:tc>
          <w:tcPr>
            <w:tcW w:w="10575" w:type="dxa"/>
            <w:gridSpan w:val="6"/>
            <w:tcBorders>
              <w:top w:val="nil"/>
              <w:left w:val="nil"/>
              <w:bottom w:val="nil"/>
              <w:right w:val="nil"/>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w:t>
            </w:r>
            <w:r>
              <w:rPr>
                <w:rStyle w:val="7"/>
                <w:rFonts w:hint="eastAsia" w:ascii="宋体" w:hAnsi="宋体" w:eastAsia="宋体" w:cs="宋体"/>
                <w:color w:val="auto"/>
                <w:sz w:val="24"/>
                <w:szCs w:val="24"/>
              </w:rPr>
              <w:t>2026</w:t>
            </w:r>
            <w:r>
              <w:rPr>
                <w:rStyle w:val="8"/>
                <w:rFonts w:hint="eastAsia" w:ascii="宋体" w:hAnsi="宋体" w:eastAsia="宋体" w:cs="宋体"/>
                <w:color w:val="auto"/>
                <w:sz w:val="24"/>
                <w:szCs w:val="24"/>
              </w:rPr>
              <w:t>年度）</w:t>
            </w:r>
          </w:p>
        </w:tc>
      </w:tr>
      <w:tr>
        <w:tblPrEx>
          <w:tblCellMar>
            <w:top w:w="0" w:type="dxa"/>
            <w:left w:w="108" w:type="dxa"/>
            <w:bottom w:w="0" w:type="dxa"/>
            <w:right w:w="108" w:type="dxa"/>
          </w:tblCellMar>
        </w:tblPrEx>
        <w:trPr>
          <w:trHeight w:val="237" w:hRule="atLeast"/>
        </w:trPr>
        <w:tc>
          <w:tcPr>
            <w:tcW w:w="10575" w:type="dxa"/>
            <w:gridSpan w:val="6"/>
            <w:tcBorders>
              <w:top w:val="nil"/>
              <w:left w:val="nil"/>
              <w:bottom w:val="single" w:color="000000" w:sz="4" w:space="0"/>
              <w:right w:val="nil"/>
            </w:tcBorders>
            <w:shd w:val="clear" w:color="auto" w:fill="auto"/>
            <w:noWrap/>
            <w:vAlign w:val="center"/>
          </w:tcPr>
          <w:p>
            <w:pPr>
              <w:rPr>
                <w:rFonts w:hint="eastAsia" w:ascii="宋体" w:hAnsi="宋体" w:eastAsia="宋体" w:cs="宋体"/>
                <w:sz w:val="24"/>
                <w:szCs w:val="24"/>
              </w:rPr>
            </w:pPr>
          </w:p>
        </w:tc>
      </w:tr>
      <w:tr>
        <w:tblPrEx>
          <w:tblCellMar>
            <w:top w:w="0" w:type="dxa"/>
            <w:left w:w="108" w:type="dxa"/>
            <w:bottom w:w="0" w:type="dxa"/>
            <w:right w:w="108" w:type="dxa"/>
          </w:tblCellMar>
        </w:tblPrEx>
        <w:trPr>
          <w:trHeight w:val="398"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项目名称</w:t>
            </w:r>
          </w:p>
        </w:tc>
        <w:tc>
          <w:tcPr>
            <w:tcW w:w="88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r>
              <w:rPr>
                <w:rFonts w:hint="eastAsia" w:ascii="宋体" w:hAnsi="宋体" w:eastAsia="宋体" w:cs="宋体"/>
                <w:sz w:val="24"/>
                <w:szCs w:val="24"/>
              </w:rPr>
              <w:t>促进人力资源聚集就业奖补</w:t>
            </w:r>
          </w:p>
        </w:tc>
      </w:tr>
      <w:tr>
        <w:tblPrEx>
          <w:tblCellMar>
            <w:top w:w="0" w:type="dxa"/>
            <w:left w:w="108" w:type="dxa"/>
            <w:bottom w:w="0" w:type="dxa"/>
            <w:right w:w="108" w:type="dxa"/>
          </w:tblCellMar>
        </w:tblPrEx>
        <w:trPr>
          <w:trHeight w:val="422"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预算单位</w:t>
            </w:r>
          </w:p>
        </w:tc>
        <w:tc>
          <w:tcPr>
            <w:tcW w:w="88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r>
              <w:rPr>
                <w:rFonts w:hint="eastAsia" w:ascii="宋体" w:hAnsi="宋体" w:eastAsia="宋体" w:cs="宋体"/>
                <w:kern w:val="0"/>
                <w:sz w:val="24"/>
                <w:szCs w:val="24"/>
              </w:rPr>
              <w:t xml:space="preserve">攀枝花市仁和区人力资源和社会保障局 </w:t>
            </w:r>
          </w:p>
        </w:tc>
      </w:tr>
      <w:tr>
        <w:tblPrEx>
          <w:tblCellMar>
            <w:top w:w="0" w:type="dxa"/>
            <w:left w:w="108" w:type="dxa"/>
            <w:bottom w:w="0" w:type="dxa"/>
            <w:right w:w="108" w:type="dxa"/>
          </w:tblCellMar>
        </w:tblPrEx>
        <w:trPr>
          <w:trHeight w:val="430" w:hRule="atLeast"/>
        </w:trPr>
        <w:tc>
          <w:tcPr>
            <w:tcW w:w="16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项目资金</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（万元）</w:t>
            </w:r>
          </w:p>
        </w:tc>
        <w:tc>
          <w:tcPr>
            <w:tcW w:w="41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 年度资金总额:</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sz w:val="24"/>
                <w:szCs w:val="24"/>
              </w:rPr>
            </w:pPr>
            <w:r>
              <w:rPr>
                <w:rFonts w:hint="eastAsia" w:ascii="宋体" w:hAnsi="宋体" w:eastAsia="宋体" w:cs="宋体"/>
                <w:sz w:val="24"/>
                <w:szCs w:val="24"/>
              </w:rPr>
              <w:t>25.00</w:t>
            </w:r>
          </w:p>
        </w:tc>
      </w:tr>
      <w:tr>
        <w:tblPrEx>
          <w:tblCellMar>
            <w:top w:w="0" w:type="dxa"/>
            <w:left w:w="108" w:type="dxa"/>
            <w:bottom w:w="0" w:type="dxa"/>
            <w:right w:w="108" w:type="dxa"/>
          </w:tblCellMar>
        </w:tblPrEx>
        <w:trPr>
          <w:trHeight w:val="383"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41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       其中：财政拨款</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sz w:val="24"/>
                <w:szCs w:val="24"/>
              </w:rPr>
            </w:pPr>
            <w:r>
              <w:rPr>
                <w:rFonts w:hint="eastAsia" w:ascii="宋体" w:hAnsi="宋体" w:eastAsia="宋体" w:cs="宋体"/>
                <w:sz w:val="24"/>
                <w:szCs w:val="24"/>
              </w:rPr>
              <w:t>25.00</w:t>
            </w:r>
          </w:p>
        </w:tc>
      </w:tr>
      <w:tr>
        <w:tblPrEx>
          <w:tblCellMar>
            <w:top w:w="0" w:type="dxa"/>
            <w:left w:w="108" w:type="dxa"/>
            <w:bottom w:w="0" w:type="dxa"/>
            <w:right w:w="108" w:type="dxa"/>
          </w:tblCellMar>
        </w:tblPrEx>
        <w:trPr>
          <w:trHeight w:val="391"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413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 xml:space="preserve">             其他资金</w:t>
            </w:r>
          </w:p>
        </w:tc>
        <w:tc>
          <w:tcPr>
            <w:tcW w:w="4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sz w:val="24"/>
                <w:szCs w:val="24"/>
              </w:rPr>
            </w:pPr>
          </w:p>
        </w:tc>
      </w:tr>
      <w:tr>
        <w:tblPrEx>
          <w:tblCellMar>
            <w:top w:w="0" w:type="dxa"/>
            <w:left w:w="108" w:type="dxa"/>
            <w:bottom w:w="0" w:type="dxa"/>
            <w:right w:w="108" w:type="dxa"/>
          </w:tblCellMar>
        </w:tblPrEx>
        <w:trPr>
          <w:trHeight w:val="1218"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总</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体</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目</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标</w:t>
            </w:r>
          </w:p>
        </w:tc>
        <w:tc>
          <w:tcPr>
            <w:tcW w:w="969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sz w:val="24"/>
                <w:szCs w:val="24"/>
              </w:rPr>
            </w:pPr>
            <w:r>
              <w:rPr>
                <w:rFonts w:hint="eastAsia" w:ascii="宋体" w:hAnsi="宋体" w:eastAsia="宋体" w:cs="宋体"/>
                <w:sz w:val="24"/>
                <w:szCs w:val="24"/>
              </w:rPr>
              <w:t>支持创新创业人才在仁和区发展，鼓励大中专及以上毕业生来攀枝花市工作，积极吸引周边劳动力来仁和区务工，推动全区人力资源服务业快速发展。</w:t>
            </w:r>
          </w:p>
        </w:tc>
      </w:tr>
      <w:tr>
        <w:tblPrEx>
          <w:tblCellMar>
            <w:top w:w="0" w:type="dxa"/>
            <w:left w:w="108" w:type="dxa"/>
            <w:bottom w:w="0" w:type="dxa"/>
            <w:right w:w="108" w:type="dxa"/>
          </w:tblCellMar>
        </w:tblPrEx>
        <w:trPr>
          <w:trHeight w:val="56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绩效指标</w:t>
            </w:r>
          </w:p>
        </w:tc>
        <w:tc>
          <w:tcPr>
            <w:tcW w:w="7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一级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二级指标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三级指标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指标值（包含数字及文字描述）</w:t>
            </w:r>
          </w:p>
        </w:tc>
      </w:tr>
      <w:tr>
        <w:tblPrEx>
          <w:tblCellMar>
            <w:top w:w="0" w:type="dxa"/>
            <w:left w:w="108" w:type="dxa"/>
            <w:bottom w:w="0" w:type="dxa"/>
            <w:right w:w="108" w:type="dxa"/>
          </w:tblCellMar>
        </w:tblPrEx>
        <w:trPr>
          <w:trHeight w:val="50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项目完成</w:t>
            </w:r>
          </w:p>
        </w:tc>
        <w:tc>
          <w:tcPr>
            <w:tcW w:w="1287"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数量指标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大中专毕业生就业奖补人员数量</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全年补贴人数≥</w:t>
            </w:r>
            <w:r>
              <w:rPr>
                <w:rFonts w:hint="eastAsia" w:ascii="宋体" w:hAnsi="宋体" w:eastAsia="宋体" w:cs="宋体"/>
                <w:sz w:val="24"/>
                <w:szCs w:val="24"/>
              </w:rPr>
              <w:t>10人</w:t>
            </w:r>
          </w:p>
        </w:tc>
      </w:tr>
      <w:tr>
        <w:tblPrEx>
          <w:tblCellMar>
            <w:top w:w="0" w:type="dxa"/>
            <w:left w:w="108" w:type="dxa"/>
            <w:bottom w:w="0" w:type="dxa"/>
            <w:right w:w="108" w:type="dxa"/>
          </w:tblCellMar>
        </w:tblPrEx>
        <w:trPr>
          <w:trHeight w:val="50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top w:val="single" w:color="000000" w:sz="4" w:space="0"/>
              <w:left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kern w:val="0"/>
                <w:sz w:val="24"/>
                <w:szCs w:val="24"/>
              </w:rPr>
            </w:pPr>
          </w:p>
        </w:tc>
        <w:tc>
          <w:tcPr>
            <w:tcW w:w="128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大中专毕业生自主创业场租补贴、基本运营综合补贴</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全年补贴人数≥</w:t>
            </w:r>
            <w:r>
              <w:rPr>
                <w:rFonts w:hint="eastAsia" w:ascii="宋体" w:hAnsi="宋体" w:eastAsia="宋体" w:cs="宋体"/>
                <w:sz w:val="24"/>
                <w:szCs w:val="24"/>
              </w:rPr>
              <w:t>10人</w:t>
            </w:r>
          </w:p>
        </w:tc>
      </w:tr>
      <w:tr>
        <w:tblPrEx>
          <w:tblCellMar>
            <w:top w:w="0" w:type="dxa"/>
            <w:left w:w="108" w:type="dxa"/>
            <w:bottom w:w="0" w:type="dxa"/>
            <w:right w:w="108" w:type="dxa"/>
          </w:tblCellMar>
        </w:tblPrEx>
        <w:trPr>
          <w:trHeight w:val="50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top w:val="single" w:color="000000" w:sz="4" w:space="0"/>
              <w:left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kern w:val="0"/>
                <w:sz w:val="24"/>
                <w:szCs w:val="24"/>
              </w:rPr>
            </w:pPr>
          </w:p>
        </w:tc>
        <w:tc>
          <w:tcPr>
            <w:tcW w:w="1287" w:type="dxa"/>
            <w:vMerge w:val="continue"/>
            <w:tcBorders>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企业吸纳外地人员来攀就业奖补</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全年补贴人数≥</w:t>
            </w:r>
            <w:r>
              <w:rPr>
                <w:rFonts w:hint="eastAsia" w:ascii="宋体" w:hAnsi="宋体" w:eastAsia="宋体" w:cs="宋体"/>
                <w:sz w:val="24"/>
                <w:szCs w:val="24"/>
              </w:rPr>
              <w:t>10人</w:t>
            </w:r>
          </w:p>
        </w:tc>
      </w:tr>
      <w:tr>
        <w:tblPrEx>
          <w:tblCellMar>
            <w:top w:w="0" w:type="dxa"/>
            <w:left w:w="108" w:type="dxa"/>
            <w:bottom w:w="0" w:type="dxa"/>
            <w:right w:w="108" w:type="dxa"/>
          </w:tblCellMar>
        </w:tblPrEx>
        <w:trPr>
          <w:trHeight w:val="50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p>
        </w:tc>
        <w:tc>
          <w:tcPr>
            <w:tcW w:w="1287"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质量指标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大中专毕业生就业奖补发放准确率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≥95%</w:t>
            </w:r>
          </w:p>
        </w:tc>
      </w:tr>
      <w:tr>
        <w:tblPrEx>
          <w:tblCellMar>
            <w:top w:w="0" w:type="dxa"/>
            <w:left w:w="108" w:type="dxa"/>
            <w:bottom w:w="0" w:type="dxa"/>
            <w:right w:w="108" w:type="dxa"/>
          </w:tblCellMar>
        </w:tblPrEx>
        <w:trPr>
          <w:trHeight w:val="80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大中专毕业生自主创业场租补贴、基本运营综合补贴发放准确率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≥95%</w:t>
            </w:r>
          </w:p>
        </w:tc>
      </w:tr>
      <w:tr>
        <w:tblPrEx>
          <w:tblCellMar>
            <w:top w:w="0" w:type="dxa"/>
            <w:left w:w="108" w:type="dxa"/>
            <w:bottom w:w="0" w:type="dxa"/>
            <w:right w:w="108" w:type="dxa"/>
          </w:tblCellMar>
        </w:tblPrEx>
        <w:trPr>
          <w:trHeight w:val="68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企业吸纳外地人员来攀就业奖补发放准确率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szCs w:val="24"/>
              </w:rPr>
            </w:pPr>
            <w:r>
              <w:rPr>
                <w:rFonts w:hint="eastAsia" w:ascii="宋体" w:hAnsi="宋体" w:eastAsia="宋体" w:cs="宋体"/>
                <w:kern w:val="0"/>
                <w:sz w:val="24"/>
                <w:szCs w:val="24"/>
              </w:rPr>
              <w:t>≥95%</w:t>
            </w:r>
          </w:p>
        </w:tc>
      </w:tr>
      <w:tr>
        <w:tblPrEx>
          <w:tblCellMar>
            <w:top w:w="0" w:type="dxa"/>
            <w:left w:w="108" w:type="dxa"/>
            <w:bottom w:w="0" w:type="dxa"/>
            <w:right w:w="108" w:type="dxa"/>
          </w:tblCellMar>
        </w:tblPrEx>
        <w:trPr>
          <w:trHeight w:val="41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时效指标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资金在规定时间内下达率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≥95%</w:t>
            </w:r>
          </w:p>
        </w:tc>
      </w:tr>
      <w:tr>
        <w:tblPrEx>
          <w:tblCellMar>
            <w:top w:w="0" w:type="dxa"/>
            <w:left w:w="108" w:type="dxa"/>
            <w:bottom w:w="0" w:type="dxa"/>
            <w:right w:w="108" w:type="dxa"/>
          </w:tblCellMar>
        </w:tblPrEx>
        <w:trPr>
          <w:trHeight w:val="52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补贴资金在规定时间内支付到位率</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≥95%</w:t>
            </w:r>
          </w:p>
        </w:tc>
      </w:tr>
      <w:tr>
        <w:tblPrEx>
          <w:tblCellMar>
            <w:top w:w="0" w:type="dxa"/>
            <w:left w:w="108" w:type="dxa"/>
            <w:bottom w:w="0" w:type="dxa"/>
            <w:right w:w="108" w:type="dxa"/>
          </w:tblCellMar>
        </w:tblPrEx>
        <w:trPr>
          <w:trHeight w:val="48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成本指标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大中专毕业生就业奖补人均标准</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400元/人/月</w:t>
            </w:r>
          </w:p>
        </w:tc>
      </w:tr>
      <w:tr>
        <w:tblPrEx>
          <w:tblCellMar>
            <w:top w:w="0" w:type="dxa"/>
            <w:left w:w="108" w:type="dxa"/>
            <w:bottom w:w="0" w:type="dxa"/>
            <w:right w:w="108" w:type="dxa"/>
          </w:tblCellMar>
        </w:tblPrEx>
        <w:trPr>
          <w:trHeight w:val="46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大中专毕业生自主创业场租补贴</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≤500元/人/月</w:t>
            </w:r>
          </w:p>
        </w:tc>
      </w:tr>
      <w:tr>
        <w:tblPrEx>
          <w:tblCellMar>
            <w:top w:w="0" w:type="dxa"/>
            <w:left w:w="108" w:type="dxa"/>
            <w:bottom w:w="0" w:type="dxa"/>
            <w:right w:w="108" w:type="dxa"/>
          </w:tblCellMar>
        </w:tblPrEx>
        <w:trPr>
          <w:trHeight w:val="75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left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大中专毕业生自主创业基本运营综合补贴人均标准</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200元/人/月</w:t>
            </w:r>
          </w:p>
        </w:tc>
      </w:tr>
      <w:tr>
        <w:tblPrEx>
          <w:tblCellMar>
            <w:top w:w="0" w:type="dxa"/>
            <w:left w:w="108" w:type="dxa"/>
            <w:bottom w:w="0" w:type="dxa"/>
            <w:right w:w="108" w:type="dxa"/>
          </w:tblCellMar>
        </w:tblPrEx>
        <w:trPr>
          <w:trHeight w:val="42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大中专毕业生就业奖补人均标准</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400元/人/月</w:t>
            </w:r>
          </w:p>
        </w:tc>
      </w:tr>
      <w:tr>
        <w:tblPrEx>
          <w:tblCellMar>
            <w:top w:w="0" w:type="dxa"/>
            <w:left w:w="108" w:type="dxa"/>
            <w:bottom w:w="0" w:type="dxa"/>
            <w:right w:w="108" w:type="dxa"/>
          </w:tblCellMar>
        </w:tblPrEx>
        <w:trPr>
          <w:trHeight w:val="70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项目效益</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社会效益</w:t>
            </w:r>
            <w:r>
              <w:rPr>
                <w:rFonts w:hint="eastAsia" w:ascii="宋体" w:hAnsi="宋体" w:eastAsia="宋体" w:cs="宋体"/>
                <w:kern w:val="0"/>
                <w:sz w:val="24"/>
                <w:szCs w:val="24"/>
              </w:rPr>
              <w:br w:type="textWrapping"/>
            </w:r>
            <w:r>
              <w:rPr>
                <w:rFonts w:hint="eastAsia" w:ascii="宋体" w:hAnsi="宋体" w:eastAsia="宋体" w:cs="宋体"/>
                <w:kern w:val="0"/>
                <w:sz w:val="24"/>
                <w:szCs w:val="24"/>
              </w:rPr>
              <w:t>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吸引大中专毕业生来仁和区就业，推动全区人力资源服务业发展</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优</w:t>
            </w:r>
          </w:p>
        </w:tc>
      </w:tr>
      <w:tr>
        <w:tblPrEx>
          <w:tblCellMar>
            <w:top w:w="0" w:type="dxa"/>
            <w:left w:w="108" w:type="dxa"/>
            <w:bottom w:w="0" w:type="dxa"/>
            <w:right w:w="108" w:type="dxa"/>
          </w:tblCellMar>
        </w:tblPrEx>
        <w:trPr>
          <w:trHeight w:val="77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sz w:val="24"/>
                <w:szCs w:val="24"/>
              </w:rPr>
            </w:pPr>
          </w:p>
        </w:tc>
        <w:tc>
          <w:tcPr>
            <w:tcW w:w="7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满意度指标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满意度指标</w:t>
            </w:r>
          </w:p>
        </w:tc>
        <w:tc>
          <w:tcPr>
            <w:tcW w:w="4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rPr>
              <w:t>就业扶持政策经办服务满意度</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rPr>
              <w:t>90%</w:t>
            </w:r>
          </w:p>
        </w:tc>
      </w:tr>
    </w:tbl>
    <w:p/>
    <w:p/>
    <w:p/>
    <w:tbl>
      <w:tblPr>
        <w:tblStyle w:val="5"/>
        <w:tblW w:w="10830" w:type="dxa"/>
        <w:tblInd w:w="-719" w:type="dxa"/>
        <w:tblLayout w:type="fixed"/>
        <w:tblCellMar>
          <w:top w:w="0" w:type="dxa"/>
          <w:left w:w="108" w:type="dxa"/>
          <w:bottom w:w="0" w:type="dxa"/>
          <w:right w:w="108" w:type="dxa"/>
        </w:tblCellMar>
      </w:tblPr>
      <w:tblGrid>
        <w:gridCol w:w="879"/>
        <w:gridCol w:w="798"/>
        <w:gridCol w:w="1287"/>
        <w:gridCol w:w="2561"/>
        <w:gridCol w:w="282"/>
        <w:gridCol w:w="1886"/>
        <w:gridCol w:w="3137"/>
      </w:tblGrid>
      <w:tr>
        <w:tblPrEx>
          <w:tblCellMar>
            <w:top w:w="0" w:type="dxa"/>
            <w:left w:w="108" w:type="dxa"/>
            <w:bottom w:w="0" w:type="dxa"/>
            <w:right w:w="108" w:type="dxa"/>
          </w:tblCellMar>
        </w:tblPrEx>
        <w:trPr>
          <w:trHeight w:val="504" w:hRule="atLeast"/>
        </w:trPr>
        <w:tc>
          <w:tcPr>
            <w:tcW w:w="10830"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90" w:hRule="atLeast"/>
        </w:trPr>
        <w:tc>
          <w:tcPr>
            <w:tcW w:w="10830"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8"/>
                <w:rFonts w:hint="default"/>
                <w:color w:val="auto"/>
              </w:rPr>
              <w:t>年度）</w:t>
            </w:r>
          </w:p>
        </w:tc>
      </w:tr>
      <w:tr>
        <w:tblPrEx>
          <w:tblCellMar>
            <w:top w:w="0" w:type="dxa"/>
            <w:left w:w="108" w:type="dxa"/>
            <w:bottom w:w="0" w:type="dxa"/>
            <w:right w:w="108" w:type="dxa"/>
          </w:tblCellMar>
        </w:tblPrEx>
        <w:trPr>
          <w:trHeight w:val="492" w:hRule="atLeast"/>
        </w:trPr>
        <w:tc>
          <w:tcPr>
            <w:tcW w:w="10830" w:type="dxa"/>
            <w:gridSpan w:val="7"/>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12"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项目名称</w:t>
            </w:r>
          </w:p>
        </w:tc>
        <w:tc>
          <w:tcPr>
            <w:tcW w:w="91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三支一扶人员待遇兑现</w:t>
            </w:r>
          </w:p>
        </w:tc>
      </w:tr>
      <w:tr>
        <w:tblPrEx>
          <w:tblCellMar>
            <w:top w:w="0" w:type="dxa"/>
            <w:left w:w="108" w:type="dxa"/>
            <w:bottom w:w="0" w:type="dxa"/>
            <w:right w:w="108" w:type="dxa"/>
          </w:tblCellMar>
        </w:tblPrEx>
        <w:trPr>
          <w:trHeight w:val="438"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预算单位</w:t>
            </w:r>
          </w:p>
        </w:tc>
        <w:tc>
          <w:tcPr>
            <w:tcW w:w="91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 xml:space="preserve">攀枝花市仁和区人力资源和社会保障局 </w:t>
            </w:r>
          </w:p>
        </w:tc>
      </w:tr>
      <w:tr>
        <w:tblPrEx>
          <w:tblCellMar>
            <w:top w:w="0" w:type="dxa"/>
            <w:left w:w="108" w:type="dxa"/>
            <w:bottom w:w="0" w:type="dxa"/>
            <w:right w:w="108" w:type="dxa"/>
          </w:tblCellMar>
        </w:tblPrEx>
        <w:trPr>
          <w:trHeight w:val="425" w:hRule="atLeast"/>
        </w:trPr>
        <w:tc>
          <w:tcPr>
            <w:tcW w:w="16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34.00</w:t>
            </w:r>
          </w:p>
        </w:tc>
      </w:tr>
      <w:tr>
        <w:tblPrEx>
          <w:tblCellMar>
            <w:top w:w="0" w:type="dxa"/>
            <w:left w:w="108" w:type="dxa"/>
            <w:bottom w:w="0" w:type="dxa"/>
            <w:right w:w="108" w:type="dxa"/>
          </w:tblCellMar>
        </w:tblPrEx>
        <w:trPr>
          <w:trHeight w:val="406"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34.00</w:t>
            </w:r>
          </w:p>
        </w:tc>
      </w:tr>
      <w:tr>
        <w:tblPrEx>
          <w:tblCellMar>
            <w:top w:w="0" w:type="dxa"/>
            <w:left w:w="108" w:type="dxa"/>
            <w:bottom w:w="0" w:type="dxa"/>
            <w:right w:w="108" w:type="dxa"/>
          </w:tblCellMar>
        </w:tblPrEx>
        <w:trPr>
          <w:trHeight w:val="438"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p>
        </w:tc>
      </w:tr>
      <w:tr>
        <w:tblPrEx>
          <w:tblCellMar>
            <w:top w:w="0" w:type="dxa"/>
            <w:left w:w="108" w:type="dxa"/>
            <w:bottom w:w="0" w:type="dxa"/>
            <w:right w:w="108" w:type="dxa"/>
          </w:tblCellMar>
        </w:tblPrEx>
        <w:trPr>
          <w:trHeight w:val="3102"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95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sz w:val="24"/>
              </w:rPr>
            </w:pPr>
            <w:r>
              <w:rPr>
                <w:rFonts w:hint="eastAsia" w:ascii="宋体" w:hAnsi="宋体" w:eastAsia="宋体" w:cs="宋体"/>
                <w:sz w:val="24"/>
              </w:rPr>
              <w:t>根据《四川省财政厅 四川省人力资源和社会保障厅关于印发&lt;四川省高校毕业生“三支一扶”计划中央和省级财政补助资金管理办法&gt;的通知》（川财社〔2022〕123号）、《中共四川省委组织部 四川省人力资源和社会保障厅等十部门关于实施第四轮高校毕业生"三支一扶"计划的通知》（川人社发〔2021〕19号）、《四川省人力资源和社会保障厅 四川省财政厅关于做好 2024 年高校毕业生“三支一扶”计划实施工作的通知》（川人社函〔2024〕373号）文件精神，我区现有2024年招募“三支一扶”人员4名，2025年招募“三支一扶”人员2名，计6名，人员较上一年度减少。做好“三支一扶”人员待遇保障，着力为基层输送和培养一批急需紧缺的专业人才，为全面推进乡村振兴、加快农业农村现代化提供人才和智力支持。</w:t>
            </w:r>
          </w:p>
        </w:tc>
      </w:tr>
      <w:tr>
        <w:tblPrEx>
          <w:tblCellMar>
            <w:top w:w="0" w:type="dxa"/>
            <w:left w:w="108" w:type="dxa"/>
            <w:bottom w:w="0" w:type="dxa"/>
            <w:right w:w="108" w:type="dxa"/>
          </w:tblCellMar>
        </w:tblPrEx>
        <w:trPr>
          <w:trHeight w:val="564"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绩效指标</w:t>
            </w:r>
          </w:p>
        </w:tc>
        <w:tc>
          <w:tcPr>
            <w:tcW w:w="798"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二级指标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三级指标</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61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项目完成</w:t>
            </w:r>
          </w:p>
        </w:tc>
        <w:tc>
          <w:tcPr>
            <w:tcW w:w="12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人数及期限</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2024年4名和2025年2名合计6名“三支一扶”人员</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及时兑现三支一扶人员待遇</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做好待遇保障</w:t>
            </w:r>
          </w:p>
        </w:tc>
      </w:tr>
      <w:tr>
        <w:tblPrEx>
          <w:tblCellMar>
            <w:top w:w="0" w:type="dxa"/>
            <w:left w:w="108" w:type="dxa"/>
            <w:bottom w:w="0" w:type="dxa"/>
            <w:right w:w="108" w:type="dxa"/>
          </w:tblCellMar>
        </w:tblPrEx>
        <w:trPr>
          <w:trHeight w:val="51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按工作计划</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2026年1月至2026年12月</w:t>
            </w:r>
          </w:p>
        </w:tc>
      </w:tr>
      <w:tr>
        <w:tblPrEx>
          <w:tblCellMar>
            <w:top w:w="0" w:type="dxa"/>
            <w:left w:w="108" w:type="dxa"/>
            <w:bottom w:w="0" w:type="dxa"/>
            <w:right w:w="108" w:type="dxa"/>
          </w:tblCellMar>
        </w:tblPrEx>
        <w:trPr>
          <w:trHeight w:val="49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三支一扶人员待遇</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区级配套34万元</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restart"/>
            <w:tcBorders>
              <w:top w:val="single" w:color="auto" w:sz="4" w:space="0"/>
              <w:left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项目效益</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协助做好基层服务工作</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充实基层力量</w:t>
            </w:r>
          </w:p>
        </w:tc>
      </w:tr>
      <w:tr>
        <w:tblPrEx>
          <w:tblCellMar>
            <w:top w:w="0" w:type="dxa"/>
            <w:left w:w="108" w:type="dxa"/>
            <w:bottom w:w="0" w:type="dxa"/>
            <w:right w:w="108" w:type="dxa"/>
          </w:tblCellMar>
        </w:tblPrEx>
        <w:trPr>
          <w:trHeight w:val="89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提供人才和智力支持</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为基层输送和培养一批急需紧缺的管理人才、专业人才和创新创业人才</w:t>
            </w:r>
          </w:p>
        </w:tc>
      </w:tr>
      <w:tr>
        <w:tblPrEx>
          <w:tblCellMar>
            <w:top w:w="0" w:type="dxa"/>
            <w:left w:w="108" w:type="dxa"/>
            <w:bottom w:w="0" w:type="dxa"/>
            <w:right w:w="108" w:type="dxa"/>
          </w:tblCellMar>
        </w:tblPrEx>
        <w:trPr>
          <w:trHeight w:val="33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引导高校毕业生树立扎根基层、服务基层的理念</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不断充实基层人才队伍</w:t>
            </w:r>
          </w:p>
        </w:tc>
      </w:tr>
      <w:tr>
        <w:tblPrEx>
          <w:tblCellMar>
            <w:top w:w="0" w:type="dxa"/>
            <w:left w:w="108" w:type="dxa"/>
            <w:bottom w:w="0" w:type="dxa"/>
            <w:right w:w="108" w:type="dxa"/>
          </w:tblCellMar>
        </w:tblPrEx>
        <w:trPr>
          <w:trHeight w:val="107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sz w:val="24"/>
              </w:rPr>
              <w:t>服务对象满意度</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≥90%</w:t>
            </w:r>
          </w:p>
        </w:tc>
      </w:tr>
      <w:tr>
        <w:tblPrEx>
          <w:tblCellMar>
            <w:top w:w="0" w:type="dxa"/>
            <w:left w:w="108" w:type="dxa"/>
            <w:bottom w:w="0" w:type="dxa"/>
            <w:right w:w="108" w:type="dxa"/>
          </w:tblCellMar>
        </w:tblPrEx>
        <w:trPr>
          <w:trHeight w:val="893" w:hRule="atLeast"/>
        </w:trPr>
        <w:tc>
          <w:tcPr>
            <w:tcW w:w="2964" w:type="dxa"/>
            <w:gridSpan w:val="3"/>
            <w:tcBorders>
              <w:top w:val="nil"/>
              <w:left w:val="nil"/>
              <w:bottom w:val="nil"/>
              <w:right w:val="nil"/>
            </w:tcBorders>
            <w:shd w:val="clear" w:color="auto" w:fill="auto"/>
            <w:noWrap/>
            <w:vAlign w:val="center"/>
          </w:tcPr>
          <w:p>
            <w:pPr>
              <w:rPr>
                <w:rFonts w:ascii="宋体" w:hAnsi="宋体" w:eastAsia="宋体" w:cs="宋体"/>
                <w:sz w:val="22"/>
                <w:szCs w:val="22"/>
              </w:rPr>
            </w:pPr>
          </w:p>
        </w:tc>
        <w:tc>
          <w:tcPr>
            <w:tcW w:w="2561" w:type="dxa"/>
            <w:tcBorders>
              <w:top w:val="nil"/>
              <w:left w:val="nil"/>
              <w:bottom w:val="nil"/>
              <w:right w:val="nil"/>
            </w:tcBorders>
            <w:shd w:val="clear" w:color="auto" w:fill="auto"/>
            <w:noWrap/>
            <w:vAlign w:val="center"/>
          </w:tcPr>
          <w:p>
            <w:pPr>
              <w:widowControl/>
              <w:jc w:val="center"/>
              <w:textAlignment w:val="center"/>
              <w:rPr>
                <w:rFonts w:ascii="宋体" w:hAnsi="宋体" w:eastAsia="宋体" w:cs="宋体"/>
                <w:sz w:val="22"/>
                <w:szCs w:val="22"/>
              </w:rPr>
            </w:pPr>
          </w:p>
        </w:tc>
        <w:tc>
          <w:tcPr>
            <w:tcW w:w="2168" w:type="dxa"/>
            <w:gridSpan w:val="2"/>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c>
          <w:tcPr>
            <w:tcW w:w="3137" w:type="dxa"/>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r>
    </w:tbl>
    <w:p/>
    <w:p/>
    <w:tbl>
      <w:tblPr>
        <w:tblStyle w:val="5"/>
        <w:tblW w:w="10830" w:type="dxa"/>
        <w:tblInd w:w="-719" w:type="dxa"/>
        <w:tblLayout w:type="fixed"/>
        <w:tblCellMar>
          <w:top w:w="0" w:type="dxa"/>
          <w:left w:w="108" w:type="dxa"/>
          <w:bottom w:w="0" w:type="dxa"/>
          <w:right w:w="108" w:type="dxa"/>
        </w:tblCellMar>
      </w:tblPr>
      <w:tblGrid>
        <w:gridCol w:w="879"/>
        <w:gridCol w:w="798"/>
        <w:gridCol w:w="1287"/>
        <w:gridCol w:w="2561"/>
        <w:gridCol w:w="282"/>
        <w:gridCol w:w="1886"/>
        <w:gridCol w:w="3137"/>
      </w:tblGrid>
      <w:tr>
        <w:tblPrEx>
          <w:tblCellMar>
            <w:top w:w="0" w:type="dxa"/>
            <w:left w:w="108" w:type="dxa"/>
            <w:bottom w:w="0" w:type="dxa"/>
            <w:right w:w="108" w:type="dxa"/>
          </w:tblCellMar>
        </w:tblPrEx>
        <w:trPr>
          <w:trHeight w:val="504" w:hRule="atLeast"/>
        </w:trPr>
        <w:tc>
          <w:tcPr>
            <w:tcW w:w="10830"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90" w:hRule="atLeast"/>
        </w:trPr>
        <w:tc>
          <w:tcPr>
            <w:tcW w:w="10830"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8"/>
                <w:rFonts w:hint="default"/>
                <w:color w:val="auto"/>
              </w:rPr>
              <w:t>年度）</w:t>
            </w:r>
          </w:p>
        </w:tc>
      </w:tr>
      <w:tr>
        <w:tblPrEx>
          <w:tblCellMar>
            <w:top w:w="0" w:type="dxa"/>
            <w:left w:w="108" w:type="dxa"/>
            <w:bottom w:w="0" w:type="dxa"/>
            <w:right w:w="108" w:type="dxa"/>
          </w:tblCellMar>
        </w:tblPrEx>
        <w:trPr>
          <w:trHeight w:val="492" w:hRule="atLeast"/>
        </w:trPr>
        <w:tc>
          <w:tcPr>
            <w:tcW w:w="10830" w:type="dxa"/>
            <w:gridSpan w:val="7"/>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12"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项目名称</w:t>
            </w:r>
          </w:p>
        </w:tc>
        <w:tc>
          <w:tcPr>
            <w:tcW w:w="91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高层次人才专项经费</w:t>
            </w:r>
          </w:p>
        </w:tc>
      </w:tr>
      <w:tr>
        <w:tblPrEx>
          <w:tblCellMar>
            <w:top w:w="0" w:type="dxa"/>
            <w:left w:w="108" w:type="dxa"/>
            <w:bottom w:w="0" w:type="dxa"/>
            <w:right w:w="108" w:type="dxa"/>
          </w:tblCellMar>
        </w:tblPrEx>
        <w:trPr>
          <w:trHeight w:val="438"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预算单位</w:t>
            </w:r>
          </w:p>
        </w:tc>
        <w:tc>
          <w:tcPr>
            <w:tcW w:w="91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 xml:space="preserve">攀枝花市仁和区人力资源和社会保障局 </w:t>
            </w:r>
          </w:p>
        </w:tc>
      </w:tr>
      <w:tr>
        <w:tblPrEx>
          <w:tblCellMar>
            <w:top w:w="0" w:type="dxa"/>
            <w:left w:w="108" w:type="dxa"/>
            <w:bottom w:w="0" w:type="dxa"/>
            <w:right w:w="108" w:type="dxa"/>
          </w:tblCellMar>
        </w:tblPrEx>
        <w:trPr>
          <w:trHeight w:val="425" w:hRule="atLeast"/>
        </w:trPr>
        <w:tc>
          <w:tcPr>
            <w:tcW w:w="16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170.00</w:t>
            </w:r>
          </w:p>
        </w:tc>
      </w:tr>
      <w:tr>
        <w:tblPrEx>
          <w:tblCellMar>
            <w:top w:w="0" w:type="dxa"/>
            <w:left w:w="108" w:type="dxa"/>
            <w:bottom w:w="0" w:type="dxa"/>
            <w:right w:w="108" w:type="dxa"/>
          </w:tblCellMar>
        </w:tblPrEx>
        <w:trPr>
          <w:trHeight w:val="406"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170.00</w:t>
            </w:r>
          </w:p>
        </w:tc>
      </w:tr>
      <w:tr>
        <w:tblPrEx>
          <w:tblCellMar>
            <w:top w:w="0" w:type="dxa"/>
            <w:left w:w="108" w:type="dxa"/>
            <w:bottom w:w="0" w:type="dxa"/>
            <w:right w:w="108" w:type="dxa"/>
          </w:tblCellMar>
        </w:tblPrEx>
        <w:trPr>
          <w:trHeight w:val="438"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50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p>
        </w:tc>
      </w:tr>
      <w:tr>
        <w:tblPrEx>
          <w:tblCellMar>
            <w:top w:w="0" w:type="dxa"/>
            <w:left w:w="108" w:type="dxa"/>
            <w:bottom w:w="0" w:type="dxa"/>
            <w:right w:w="108" w:type="dxa"/>
          </w:tblCellMar>
        </w:tblPrEx>
        <w:trPr>
          <w:trHeight w:val="4171"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95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sz w:val="24"/>
              </w:rPr>
            </w:pPr>
            <w:r>
              <w:rPr>
                <w:rFonts w:hint="eastAsia" w:ascii="宋体" w:hAnsi="宋体" w:eastAsia="宋体" w:cs="宋体"/>
                <w:sz w:val="24"/>
              </w:rPr>
              <w:t>按照省委巡视和区委巡察反馈整改未发放高层次人才待遇要求，根据《 中共攀枝花市委办公室 攀枝花市人民政府办公室印发&lt;关于实施“人才兴攀”战略加快建设川西南滇西北人才创新发展聚集地的意见&gt;的通知》(攀委办发〔2022〕1号)、《中共攀枝花市委人才工作领导小组办公室 攀枝花市人力资源和社会保障局关于印发&lt;攀枝花市优秀人才激励支持实施细则&gt;的通知》（攀委人才办〔2022〕5号），《中共攀枝花市委人才工作领导小组办公室、攀枝花市人力资源和社会保障局关于印发&lt;攀枝花市紧缺人才集聚支持实施细则&gt;的通知》（攀委人才办〔2022〕2号）等文件精神和市、区人才发展“十四五” 规划，认真落实中央和省委、市委、区委人才工作会议精神，紧扣区委“一二三五六”总体工作思路，坚持党管人才原则，大力实施“人才强区”战略，着眼全方位培养、引进、用好人才，加快人才政策创新和精准供给，努力建设一支数量充足、结构合理、素质优良的人才队伍，为加快建设绿色活力和谐现代化城区提供坚强的人才保障和智力支撑。</w:t>
            </w:r>
          </w:p>
        </w:tc>
      </w:tr>
      <w:tr>
        <w:tblPrEx>
          <w:tblCellMar>
            <w:top w:w="0" w:type="dxa"/>
            <w:left w:w="108" w:type="dxa"/>
            <w:bottom w:w="0" w:type="dxa"/>
            <w:right w:w="108" w:type="dxa"/>
          </w:tblCellMar>
        </w:tblPrEx>
        <w:trPr>
          <w:trHeight w:val="693"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绩效指标</w:t>
            </w:r>
          </w:p>
        </w:tc>
        <w:tc>
          <w:tcPr>
            <w:tcW w:w="7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84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宋体" w:hAnsi="宋体" w:eastAsia="宋体" w:cs="宋体"/>
                <w:kern w:val="0"/>
                <w:sz w:val="24"/>
              </w:rPr>
            </w:pPr>
            <w:r>
              <w:rPr>
                <w:rFonts w:hint="eastAsia" w:ascii="宋体" w:hAnsi="宋体" w:eastAsia="宋体" w:cs="宋体"/>
                <w:kern w:val="0"/>
                <w:sz w:val="24"/>
              </w:rPr>
              <w:t>项目完成</w:t>
            </w:r>
          </w:p>
        </w:tc>
        <w:tc>
          <w:tcPr>
            <w:tcW w:w="12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数量指标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高层次人才待遇享受人员</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Theme="minorEastAsia" w:hAnsiTheme="minorEastAsia" w:cstheme="minorEastAsia"/>
                <w:sz w:val="24"/>
              </w:rPr>
              <w:t>对认定且符合条件的高层次人才兑现待遇，≥10人</w:t>
            </w:r>
          </w:p>
        </w:tc>
      </w:tr>
      <w:tr>
        <w:tblPrEx>
          <w:tblCellMar>
            <w:top w:w="0" w:type="dxa"/>
            <w:left w:w="108" w:type="dxa"/>
            <w:bottom w:w="0" w:type="dxa"/>
            <w:right w:w="108" w:type="dxa"/>
          </w:tblCellMar>
        </w:tblPrEx>
        <w:trPr>
          <w:trHeight w:val="842"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12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高层次人才待遇保障</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为高层次人才提供相应保障</w:t>
            </w:r>
          </w:p>
        </w:tc>
      </w:tr>
      <w:tr>
        <w:tblPrEx>
          <w:tblCellMar>
            <w:top w:w="0" w:type="dxa"/>
            <w:left w:w="108" w:type="dxa"/>
            <w:bottom w:w="0" w:type="dxa"/>
            <w:right w:w="108" w:type="dxa"/>
          </w:tblCellMar>
        </w:tblPrEx>
        <w:trPr>
          <w:trHeight w:val="51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按工作计划</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2026年度</w:t>
            </w:r>
          </w:p>
        </w:tc>
      </w:tr>
      <w:tr>
        <w:tblPrEx>
          <w:tblCellMar>
            <w:top w:w="0" w:type="dxa"/>
            <w:left w:w="108" w:type="dxa"/>
            <w:bottom w:w="0" w:type="dxa"/>
            <w:right w:w="108" w:type="dxa"/>
          </w:tblCellMar>
        </w:tblPrEx>
        <w:trPr>
          <w:trHeight w:val="498"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高层次人才补贴</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170万</w:t>
            </w:r>
          </w:p>
        </w:tc>
      </w:tr>
      <w:tr>
        <w:tblPrEx>
          <w:tblCellMar>
            <w:top w:w="0" w:type="dxa"/>
            <w:left w:w="108" w:type="dxa"/>
            <w:bottom w:w="0" w:type="dxa"/>
            <w:right w:w="108" w:type="dxa"/>
          </w:tblCellMar>
        </w:tblPrEx>
        <w:trPr>
          <w:trHeight w:val="89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restart"/>
            <w:tcBorders>
              <w:top w:val="single" w:color="auto" w:sz="4" w:space="0"/>
              <w:left w:val="single" w:color="000000" w:sz="4" w:space="0"/>
              <w:right w:val="single" w:color="000000" w:sz="4" w:space="0"/>
            </w:tcBorders>
            <w:shd w:val="clear" w:color="auto" w:fill="auto"/>
            <w:vAlign w:val="center"/>
          </w:tcPr>
          <w:p>
            <w:pPr>
              <w:jc w:val="center"/>
              <w:rPr>
                <w:rFonts w:hint="eastAsia" w:ascii="宋体" w:hAnsi="宋体" w:eastAsia="宋体" w:cs="宋体"/>
                <w:sz w:val="24"/>
                <w:lang w:eastAsia="zh-CN"/>
              </w:rPr>
            </w:pPr>
            <w:r>
              <w:rPr>
                <w:rFonts w:hint="eastAsia" w:ascii="宋体" w:hAnsi="宋体" w:eastAsia="宋体" w:cs="宋体"/>
                <w:sz w:val="24"/>
                <w:lang w:eastAsia="zh-CN"/>
              </w:rPr>
              <w:t>项目效益</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推进人才队伍结构持续优化、创新创业活力</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为攀枝花市建成川西南滇西北人才创新发展聚集地贡献仁和力量。</w:t>
            </w:r>
          </w:p>
        </w:tc>
      </w:tr>
      <w:tr>
        <w:tblPrEx>
          <w:tblCellMar>
            <w:top w:w="0" w:type="dxa"/>
            <w:left w:w="108" w:type="dxa"/>
            <w:bottom w:w="0" w:type="dxa"/>
            <w:right w:w="108" w:type="dxa"/>
          </w:tblCellMar>
        </w:tblPrEx>
        <w:trPr>
          <w:trHeight w:val="123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聚集壮大重点产业人才队伍</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建设一支数量充足、结构合理、素质优良的人才队伍，为加快建设绿色活力和谐现代化城区提供坚强的人才保障和智力支撑</w:t>
            </w:r>
          </w:p>
        </w:tc>
      </w:tr>
      <w:tr>
        <w:tblPrEx>
          <w:tblCellMar>
            <w:top w:w="0" w:type="dxa"/>
            <w:left w:w="108" w:type="dxa"/>
            <w:bottom w:w="0" w:type="dxa"/>
            <w:right w:w="108" w:type="dxa"/>
          </w:tblCellMar>
        </w:tblPrEx>
        <w:trPr>
          <w:trHeight w:val="107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服务对象满意度</w:t>
            </w:r>
          </w:p>
        </w:tc>
        <w:tc>
          <w:tcPr>
            <w:tcW w:w="53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≥90%</w:t>
            </w:r>
          </w:p>
        </w:tc>
      </w:tr>
      <w:tr>
        <w:tblPrEx>
          <w:tblCellMar>
            <w:top w:w="0" w:type="dxa"/>
            <w:left w:w="108" w:type="dxa"/>
            <w:bottom w:w="0" w:type="dxa"/>
            <w:right w:w="108" w:type="dxa"/>
          </w:tblCellMar>
        </w:tblPrEx>
        <w:trPr>
          <w:trHeight w:val="893" w:hRule="atLeast"/>
        </w:trPr>
        <w:tc>
          <w:tcPr>
            <w:tcW w:w="2964" w:type="dxa"/>
            <w:gridSpan w:val="3"/>
            <w:tcBorders>
              <w:top w:val="nil"/>
              <w:left w:val="nil"/>
              <w:bottom w:val="nil"/>
              <w:right w:val="nil"/>
            </w:tcBorders>
            <w:shd w:val="clear" w:color="auto" w:fill="auto"/>
            <w:noWrap/>
            <w:vAlign w:val="center"/>
          </w:tcPr>
          <w:p>
            <w:pPr>
              <w:rPr>
                <w:rFonts w:ascii="宋体" w:hAnsi="宋体" w:eastAsia="宋体" w:cs="宋体"/>
                <w:sz w:val="22"/>
                <w:szCs w:val="22"/>
              </w:rPr>
            </w:pPr>
          </w:p>
        </w:tc>
        <w:tc>
          <w:tcPr>
            <w:tcW w:w="2561" w:type="dxa"/>
            <w:tcBorders>
              <w:top w:val="nil"/>
              <w:left w:val="nil"/>
              <w:bottom w:val="nil"/>
              <w:right w:val="nil"/>
            </w:tcBorders>
            <w:shd w:val="clear" w:color="auto" w:fill="auto"/>
            <w:noWrap/>
            <w:vAlign w:val="center"/>
          </w:tcPr>
          <w:p>
            <w:pPr>
              <w:widowControl/>
              <w:textAlignment w:val="center"/>
              <w:rPr>
                <w:rFonts w:ascii="宋体" w:hAnsi="宋体" w:eastAsia="宋体" w:cs="宋体"/>
                <w:sz w:val="22"/>
                <w:szCs w:val="22"/>
              </w:rPr>
            </w:pPr>
          </w:p>
        </w:tc>
        <w:tc>
          <w:tcPr>
            <w:tcW w:w="2168" w:type="dxa"/>
            <w:gridSpan w:val="2"/>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c>
          <w:tcPr>
            <w:tcW w:w="3137" w:type="dxa"/>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r>
    </w:tbl>
    <w:p/>
    <w:tbl>
      <w:tblPr>
        <w:tblStyle w:val="5"/>
        <w:tblW w:w="10384" w:type="dxa"/>
        <w:tblInd w:w="-719" w:type="dxa"/>
        <w:tblLayout w:type="fixed"/>
        <w:tblCellMar>
          <w:top w:w="0" w:type="dxa"/>
          <w:left w:w="108" w:type="dxa"/>
          <w:bottom w:w="0" w:type="dxa"/>
          <w:right w:w="108" w:type="dxa"/>
        </w:tblCellMar>
      </w:tblPr>
      <w:tblGrid>
        <w:gridCol w:w="879"/>
        <w:gridCol w:w="798"/>
        <w:gridCol w:w="1287"/>
        <w:gridCol w:w="2561"/>
        <w:gridCol w:w="282"/>
        <w:gridCol w:w="1886"/>
        <w:gridCol w:w="2691"/>
      </w:tblGrid>
      <w:tr>
        <w:tblPrEx>
          <w:tblCellMar>
            <w:top w:w="0" w:type="dxa"/>
            <w:left w:w="108" w:type="dxa"/>
            <w:bottom w:w="0" w:type="dxa"/>
            <w:right w:w="108" w:type="dxa"/>
          </w:tblCellMar>
        </w:tblPrEx>
        <w:trPr>
          <w:trHeight w:val="504" w:hRule="atLeast"/>
        </w:trPr>
        <w:tc>
          <w:tcPr>
            <w:tcW w:w="10384"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特定目标类项目支出绩效目标申报表</w:t>
            </w:r>
          </w:p>
        </w:tc>
      </w:tr>
      <w:tr>
        <w:tblPrEx>
          <w:tblCellMar>
            <w:top w:w="0" w:type="dxa"/>
            <w:left w:w="108" w:type="dxa"/>
            <w:bottom w:w="0" w:type="dxa"/>
            <w:right w:w="108" w:type="dxa"/>
          </w:tblCellMar>
        </w:tblPrEx>
        <w:trPr>
          <w:trHeight w:val="90" w:hRule="atLeast"/>
        </w:trPr>
        <w:tc>
          <w:tcPr>
            <w:tcW w:w="10384" w:type="dxa"/>
            <w:gridSpan w:val="7"/>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8"/>
                <w:rFonts w:hint="default"/>
                <w:color w:val="auto"/>
              </w:rPr>
              <w:t>年度）</w:t>
            </w:r>
          </w:p>
        </w:tc>
      </w:tr>
      <w:tr>
        <w:tblPrEx>
          <w:tblCellMar>
            <w:top w:w="0" w:type="dxa"/>
            <w:left w:w="108" w:type="dxa"/>
            <w:bottom w:w="0" w:type="dxa"/>
            <w:right w:w="108" w:type="dxa"/>
          </w:tblCellMar>
        </w:tblPrEx>
        <w:trPr>
          <w:trHeight w:val="492" w:hRule="atLeast"/>
        </w:trPr>
        <w:tc>
          <w:tcPr>
            <w:tcW w:w="10384" w:type="dxa"/>
            <w:gridSpan w:val="7"/>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12"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项目名称</w:t>
            </w:r>
          </w:p>
        </w:tc>
        <w:tc>
          <w:tcPr>
            <w:tcW w:w="87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青创运营费</w:t>
            </w:r>
            <w:r>
              <w:rPr>
                <w:rFonts w:hint="eastAsia" w:ascii="宋体" w:hAnsi="宋体" w:eastAsia="宋体" w:cs="宋体"/>
                <w:sz w:val="24"/>
              </w:rPr>
              <w:tab/>
            </w:r>
            <w:r>
              <w:rPr>
                <w:rFonts w:hint="eastAsia" w:ascii="宋体" w:hAnsi="宋体" w:eastAsia="宋体" w:cs="宋体"/>
                <w:sz w:val="24"/>
              </w:rPr>
              <w:tab/>
            </w:r>
            <w:r>
              <w:rPr>
                <w:rFonts w:hint="eastAsia" w:ascii="宋体" w:hAnsi="宋体" w:eastAsia="宋体" w:cs="宋体"/>
                <w:sz w:val="24"/>
              </w:rPr>
              <w:tab/>
            </w:r>
          </w:p>
        </w:tc>
      </w:tr>
      <w:tr>
        <w:tblPrEx>
          <w:tblCellMar>
            <w:top w:w="0" w:type="dxa"/>
            <w:left w:w="108" w:type="dxa"/>
            <w:bottom w:w="0" w:type="dxa"/>
            <w:right w:w="108" w:type="dxa"/>
          </w:tblCellMar>
        </w:tblPrEx>
        <w:trPr>
          <w:trHeight w:val="438" w:hRule="atLeast"/>
        </w:trPr>
        <w:tc>
          <w:tcPr>
            <w:tcW w:w="1677"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预算单位</w:t>
            </w:r>
          </w:p>
        </w:tc>
        <w:tc>
          <w:tcPr>
            <w:tcW w:w="870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 xml:space="preserve">攀枝花市仁和区人力资源和社会保障局 </w:t>
            </w:r>
          </w:p>
        </w:tc>
      </w:tr>
      <w:tr>
        <w:tblPrEx>
          <w:tblCellMar>
            <w:top w:w="0" w:type="dxa"/>
            <w:left w:w="108" w:type="dxa"/>
            <w:bottom w:w="0" w:type="dxa"/>
            <w:right w:w="108" w:type="dxa"/>
          </w:tblCellMar>
        </w:tblPrEx>
        <w:trPr>
          <w:trHeight w:val="425" w:hRule="atLeast"/>
        </w:trPr>
        <w:tc>
          <w:tcPr>
            <w:tcW w:w="167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w:t>
            </w:r>
            <w:r>
              <w:rPr>
                <w:rFonts w:ascii="宋体" w:hAnsi="宋体" w:eastAsia="宋体" w:cs="宋体"/>
                <w:sz w:val="24"/>
              </w:rPr>
              <w:t>0</w:t>
            </w:r>
            <w:r>
              <w:rPr>
                <w:rFonts w:hint="eastAsia" w:ascii="宋体" w:hAnsi="宋体" w:eastAsia="宋体" w:cs="宋体"/>
                <w:sz w:val="24"/>
              </w:rPr>
              <w:t>.00</w:t>
            </w:r>
          </w:p>
        </w:tc>
      </w:tr>
      <w:tr>
        <w:tblPrEx>
          <w:tblCellMar>
            <w:top w:w="0" w:type="dxa"/>
            <w:left w:w="108" w:type="dxa"/>
            <w:bottom w:w="0" w:type="dxa"/>
            <w:right w:w="108" w:type="dxa"/>
          </w:tblCellMar>
        </w:tblPrEx>
        <w:trPr>
          <w:trHeight w:val="406"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w:t>
            </w:r>
            <w:r>
              <w:rPr>
                <w:rFonts w:ascii="宋体" w:hAnsi="宋体" w:eastAsia="宋体" w:cs="宋体"/>
                <w:sz w:val="24"/>
              </w:rPr>
              <w:t>0</w:t>
            </w:r>
            <w:r>
              <w:rPr>
                <w:rFonts w:hint="eastAsia" w:ascii="宋体" w:hAnsi="宋体" w:eastAsia="宋体" w:cs="宋体"/>
                <w:sz w:val="24"/>
              </w:rPr>
              <w:t>.00</w:t>
            </w:r>
          </w:p>
        </w:tc>
      </w:tr>
      <w:tr>
        <w:tblPrEx>
          <w:tblCellMar>
            <w:top w:w="0" w:type="dxa"/>
            <w:left w:w="108" w:type="dxa"/>
            <w:bottom w:w="0" w:type="dxa"/>
            <w:right w:w="108" w:type="dxa"/>
          </w:tblCellMar>
        </w:tblPrEx>
        <w:trPr>
          <w:trHeight w:val="438" w:hRule="atLeast"/>
        </w:trPr>
        <w:tc>
          <w:tcPr>
            <w:tcW w:w="167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4130" w:type="dxa"/>
            <w:gridSpan w:val="3"/>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r>
      <w:tr>
        <w:tblPrEx>
          <w:tblCellMar>
            <w:top w:w="0" w:type="dxa"/>
            <w:left w:w="108" w:type="dxa"/>
            <w:bottom w:w="0" w:type="dxa"/>
            <w:right w:w="108" w:type="dxa"/>
          </w:tblCellMar>
        </w:tblPrEx>
        <w:trPr>
          <w:trHeight w:val="2213" w:hRule="atLeast"/>
        </w:trPr>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950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sz w:val="24"/>
              </w:rPr>
            </w:pPr>
            <w:r>
              <w:rPr>
                <w:rFonts w:hint="eastAsia" w:ascii="宋体" w:hAnsi="宋体" w:eastAsia="宋体" w:cs="宋体"/>
                <w:sz w:val="24"/>
              </w:rPr>
              <w:t>以立新村为实践基地，打造一个集“青年创业孵化、文化创意转让、农文旅融合示范、共富机制探索”于一体的综合性平台。一是开展运营服务，负责青创平台的日常管理服务；二是做好青创人才培育，包括引进、孵化明星主理人、青年创业团队，开展对外合作等；三是品牌推广，完成形象系统设计、应用场景开发、组织创业沙龙、资源对接、技能培训，打造本土品牌。</w:t>
            </w:r>
          </w:p>
        </w:tc>
      </w:tr>
      <w:tr>
        <w:tblPrEx>
          <w:tblCellMar>
            <w:top w:w="0" w:type="dxa"/>
            <w:left w:w="108" w:type="dxa"/>
            <w:bottom w:w="0" w:type="dxa"/>
            <w:right w:w="108" w:type="dxa"/>
          </w:tblCellMar>
        </w:tblPrEx>
        <w:trPr>
          <w:trHeight w:val="693"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绩效指标</w:t>
            </w:r>
          </w:p>
        </w:tc>
        <w:tc>
          <w:tcPr>
            <w:tcW w:w="7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69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rPr>
            </w:pPr>
          </w:p>
        </w:tc>
        <w:tc>
          <w:tcPr>
            <w:tcW w:w="798"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hint="eastAsia" w:ascii="宋体" w:hAnsi="宋体" w:eastAsia="宋体" w:cs="宋体"/>
                <w:kern w:val="0"/>
                <w:sz w:val="24"/>
              </w:rPr>
            </w:pPr>
            <w:r>
              <w:rPr>
                <w:rFonts w:hint="eastAsia" w:ascii="宋体" w:hAnsi="宋体" w:eastAsia="宋体" w:cs="宋体"/>
                <w:kern w:val="0"/>
                <w:sz w:val="24"/>
              </w:rPr>
              <w:t>项目完成</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kern w:val="0"/>
                <w:sz w:val="24"/>
              </w:rPr>
            </w:pPr>
            <w:r>
              <w:rPr>
                <w:rFonts w:hint="eastAsia" w:ascii="宋体" w:hAnsi="宋体" w:eastAsia="宋体" w:cs="宋体"/>
                <w:kern w:val="0"/>
                <w:sz w:val="24"/>
              </w:rPr>
              <w:t>数量指标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hint="eastAsia" w:ascii="宋体" w:hAnsi="宋体" w:eastAsia="宋体" w:cs="宋体"/>
                <w:kern w:val="0"/>
                <w:sz w:val="24"/>
              </w:rPr>
            </w:pPr>
            <w:r>
              <w:rPr>
                <w:rFonts w:hint="eastAsia" w:ascii="宋体" w:hAnsi="宋体" w:eastAsia="宋体" w:cs="宋体"/>
                <w:kern w:val="0"/>
                <w:sz w:val="24"/>
              </w:rPr>
              <w:t>平台打造</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kern w:val="0"/>
                <w:sz w:val="24"/>
              </w:rPr>
            </w:pPr>
            <w:r>
              <w:rPr>
                <w:rFonts w:hint="eastAsia" w:ascii="宋体" w:hAnsi="宋体" w:eastAsia="宋体" w:cs="宋体"/>
                <w:kern w:val="0"/>
                <w:sz w:val="24"/>
              </w:rPr>
              <w:t>做好2026年度青创运营综合性平台建设工作，打造一个综合性平台</w:t>
            </w:r>
          </w:p>
        </w:tc>
      </w:tr>
      <w:tr>
        <w:tblPrEx>
          <w:tblCellMar>
            <w:top w:w="0" w:type="dxa"/>
            <w:left w:w="108" w:type="dxa"/>
            <w:bottom w:w="0" w:type="dxa"/>
            <w:right w:w="108" w:type="dxa"/>
          </w:tblCellMar>
        </w:tblPrEx>
        <w:trPr>
          <w:trHeight w:val="884"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12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平台建设</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做好青创平台日常管理，完成引进培育青创人才和创业培训任务</w:t>
            </w:r>
          </w:p>
        </w:tc>
      </w:tr>
      <w:tr>
        <w:tblPrEx>
          <w:tblCellMar>
            <w:top w:w="0" w:type="dxa"/>
            <w:left w:w="108" w:type="dxa"/>
            <w:bottom w:w="0" w:type="dxa"/>
            <w:right w:w="108" w:type="dxa"/>
          </w:tblCellMar>
        </w:tblPrEx>
        <w:trPr>
          <w:trHeight w:val="487"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561" w:type="dxa"/>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按工作计划</w:t>
            </w:r>
          </w:p>
        </w:tc>
        <w:tc>
          <w:tcPr>
            <w:tcW w:w="4859" w:type="dxa"/>
            <w:gridSpan w:val="3"/>
            <w:tcBorders>
              <w:top w:val="single" w:color="000000" w:sz="4" w:space="0"/>
              <w:left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2026年1月至2026年12月</w:t>
            </w:r>
          </w:p>
        </w:tc>
      </w:tr>
      <w:tr>
        <w:tblPrEx>
          <w:tblCellMar>
            <w:top w:w="0" w:type="dxa"/>
            <w:left w:w="108" w:type="dxa"/>
            <w:bottom w:w="0" w:type="dxa"/>
            <w:right w:w="108" w:type="dxa"/>
          </w:tblCellMar>
        </w:tblPrEx>
        <w:trPr>
          <w:trHeight w:val="83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预算资金的使用</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区级资金200万元</w:t>
            </w:r>
          </w:p>
        </w:tc>
      </w:tr>
      <w:tr>
        <w:tblPrEx>
          <w:tblCellMar>
            <w:top w:w="0" w:type="dxa"/>
            <w:left w:w="108" w:type="dxa"/>
            <w:bottom w:w="0" w:type="dxa"/>
            <w:right w:w="108" w:type="dxa"/>
          </w:tblCellMar>
        </w:tblPrEx>
        <w:trPr>
          <w:trHeight w:val="893"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restart"/>
            <w:tcBorders>
              <w:top w:val="single" w:color="auto" w:sz="4" w:space="0"/>
              <w:left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项目效益</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经济效益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打造本土品牌</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带动相关产业集群效应</w:t>
            </w:r>
          </w:p>
        </w:tc>
      </w:tr>
      <w:tr>
        <w:tblPrEx>
          <w:tblCellMar>
            <w:top w:w="0" w:type="dxa"/>
            <w:left w:w="108" w:type="dxa"/>
            <w:bottom w:w="0" w:type="dxa"/>
            <w:right w:w="108" w:type="dxa"/>
          </w:tblCellMar>
        </w:tblPrEx>
        <w:trPr>
          <w:trHeight w:val="75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推动人才资源优势转化</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切实将人才资源优势转化为创新优势、发展优势</w:t>
            </w:r>
          </w:p>
        </w:tc>
      </w:tr>
      <w:tr>
        <w:tblPrEx>
          <w:tblCellMar>
            <w:top w:w="0" w:type="dxa"/>
            <w:left w:w="108" w:type="dxa"/>
            <w:bottom w:w="0" w:type="dxa"/>
            <w:right w:w="108" w:type="dxa"/>
          </w:tblCellMar>
        </w:tblPrEx>
        <w:trPr>
          <w:trHeight w:val="75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vMerge w:val="continue"/>
            <w:tcBorders>
              <w:left w:val="single" w:color="000000" w:sz="4" w:space="0"/>
              <w:bottom w:val="single" w:color="auto" w:sz="4" w:space="0"/>
              <w:right w:val="single" w:color="000000" w:sz="4" w:space="0"/>
            </w:tcBorders>
            <w:shd w:val="clear" w:color="auto" w:fill="auto"/>
            <w:vAlign w:val="center"/>
          </w:tcPr>
          <w:p>
            <w:pPr>
              <w:jc w:val="center"/>
              <w:rPr>
                <w:rFonts w:ascii="宋体" w:hAnsi="宋体" w:eastAsia="宋体" w:cs="宋体"/>
                <w:sz w:val="24"/>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可持续影响指标</w:t>
            </w:r>
            <w:r>
              <w:rPr>
                <w:rFonts w:hint="eastAsia" w:ascii="宋体" w:hAnsi="宋体" w:eastAsia="宋体" w:cs="宋体"/>
                <w:kern w:val="0"/>
                <w:sz w:val="24"/>
              </w:rPr>
              <w:tab/>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搭建青年人才创新创业平台</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kern w:val="0"/>
                <w:sz w:val="24"/>
              </w:rPr>
            </w:pPr>
            <w:r>
              <w:rPr>
                <w:rFonts w:hint="eastAsia" w:ascii="宋体" w:hAnsi="宋体" w:eastAsia="宋体" w:cs="宋体"/>
                <w:kern w:val="0"/>
                <w:sz w:val="24"/>
              </w:rPr>
              <w:t>扎实推进青年人才创新创业工作</w:t>
            </w:r>
          </w:p>
        </w:tc>
      </w:tr>
      <w:tr>
        <w:tblPrEx>
          <w:tblCellMar>
            <w:top w:w="0" w:type="dxa"/>
            <w:left w:w="108" w:type="dxa"/>
            <w:bottom w:w="0" w:type="dxa"/>
            <w:right w:w="108" w:type="dxa"/>
          </w:tblCellMar>
        </w:tblPrEx>
        <w:trPr>
          <w:trHeight w:val="1076"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798"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5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服务对象满意度</w:t>
            </w:r>
          </w:p>
        </w:tc>
        <w:tc>
          <w:tcPr>
            <w:tcW w:w="48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≥9</w:t>
            </w:r>
            <w:r>
              <w:rPr>
                <w:rFonts w:ascii="宋体" w:hAnsi="宋体" w:eastAsia="宋体" w:cs="宋体"/>
                <w:kern w:val="0"/>
                <w:sz w:val="24"/>
              </w:rPr>
              <w:t>0</w:t>
            </w:r>
            <w:r>
              <w:rPr>
                <w:rFonts w:hint="eastAsia" w:ascii="宋体" w:hAnsi="宋体" w:eastAsia="宋体" w:cs="宋体"/>
                <w:kern w:val="0"/>
                <w:sz w:val="24"/>
              </w:rPr>
              <w:t>%</w:t>
            </w:r>
          </w:p>
        </w:tc>
      </w:tr>
      <w:tr>
        <w:tblPrEx>
          <w:tblCellMar>
            <w:top w:w="0" w:type="dxa"/>
            <w:left w:w="108" w:type="dxa"/>
            <w:bottom w:w="0" w:type="dxa"/>
            <w:right w:w="108" w:type="dxa"/>
          </w:tblCellMar>
        </w:tblPrEx>
        <w:trPr>
          <w:trHeight w:val="893" w:hRule="atLeast"/>
        </w:trPr>
        <w:tc>
          <w:tcPr>
            <w:tcW w:w="2964" w:type="dxa"/>
            <w:gridSpan w:val="3"/>
            <w:tcBorders>
              <w:top w:val="nil"/>
              <w:left w:val="nil"/>
              <w:bottom w:val="nil"/>
              <w:right w:val="nil"/>
            </w:tcBorders>
            <w:shd w:val="clear" w:color="auto" w:fill="auto"/>
            <w:noWrap/>
            <w:vAlign w:val="center"/>
          </w:tcPr>
          <w:p>
            <w:pPr>
              <w:rPr>
                <w:rFonts w:ascii="宋体" w:hAnsi="宋体" w:eastAsia="宋体" w:cs="宋体"/>
                <w:sz w:val="22"/>
                <w:szCs w:val="22"/>
              </w:rPr>
            </w:pPr>
          </w:p>
        </w:tc>
        <w:tc>
          <w:tcPr>
            <w:tcW w:w="2561" w:type="dxa"/>
            <w:tcBorders>
              <w:top w:val="nil"/>
              <w:left w:val="nil"/>
              <w:bottom w:val="nil"/>
              <w:right w:val="nil"/>
            </w:tcBorders>
            <w:shd w:val="clear" w:color="auto" w:fill="auto"/>
            <w:noWrap/>
            <w:vAlign w:val="center"/>
          </w:tcPr>
          <w:p>
            <w:pPr>
              <w:widowControl/>
              <w:jc w:val="center"/>
              <w:textAlignment w:val="center"/>
              <w:rPr>
                <w:rFonts w:ascii="宋体" w:hAnsi="宋体" w:eastAsia="宋体" w:cs="宋体"/>
                <w:sz w:val="22"/>
                <w:szCs w:val="22"/>
              </w:rPr>
            </w:pPr>
          </w:p>
        </w:tc>
        <w:tc>
          <w:tcPr>
            <w:tcW w:w="2168" w:type="dxa"/>
            <w:gridSpan w:val="2"/>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c>
          <w:tcPr>
            <w:tcW w:w="2691" w:type="dxa"/>
            <w:tcBorders>
              <w:top w:val="nil"/>
              <w:left w:val="nil"/>
              <w:bottom w:val="nil"/>
              <w:right w:val="nil"/>
            </w:tcBorders>
            <w:shd w:val="clear" w:color="auto" w:fill="auto"/>
            <w:noWrap/>
            <w:vAlign w:val="center"/>
          </w:tcPr>
          <w:p>
            <w:pPr>
              <w:widowControl/>
              <w:jc w:val="left"/>
              <w:textAlignment w:val="center"/>
              <w:rPr>
                <w:rFonts w:ascii="宋体" w:hAnsi="宋体" w:eastAsia="宋体" w:cs="宋体"/>
                <w:sz w:val="22"/>
                <w:szCs w:val="22"/>
              </w:rPr>
            </w:pPr>
          </w:p>
        </w:tc>
      </w:tr>
    </w:tbl>
    <w:p/>
    <w:tbl>
      <w:tblPr>
        <w:tblStyle w:val="5"/>
        <w:tblW w:w="9621" w:type="dxa"/>
        <w:tblInd w:w="-464" w:type="dxa"/>
        <w:tblLayout w:type="fixed"/>
        <w:tblCellMar>
          <w:top w:w="0" w:type="dxa"/>
          <w:left w:w="108" w:type="dxa"/>
          <w:bottom w:w="0" w:type="dxa"/>
          <w:right w:w="108" w:type="dxa"/>
        </w:tblCellMar>
      </w:tblPr>
      <w:tblGrid>
        <w:gridCol w:w="810"/>
        <w:gridCol w:w="840"/>
        <w:gridCol w:w="915"/>
        <w:gridCol w:w="2460"/>
        <w:gridCol w:w="4596"/>
      </w:tblGrid>
      <w:tr>
        <w:tblPrEx>
          <w:tblCellMar>
            <w:top w:w="0" w:type="dxa"/>
            <w:left w:w="108" w:type="dxa"/>
            <w:bottom w:w="0" w:type="dxa"/>
            <w:right w:w="108" w:type="dxa"/>
          </w:tblCellMar>
        </w:tblPrEx>
        <w:trPr>
          <w:trHeight w:val="474"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Times New Roman" w:hAnsi="Times New Roman" w:eastAsia="宋体" w:cs="Times New Roman"/>
                <w:b/>
                <w:bCs/>
                <w:sz w:val="32"/>
                <w:szCs w:val="32"/>
              </w:rPr>
            </w:pPr>
            <w:r>
              <w:rPr>
                <w:rFonts w:ascii="Times New Roman" w:hAnsi="Times New Roman" w:eastAsia="宋体" w:cs="Times New Roman"/>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Times New Roman" w:hAnsi="Times New Roman" w:eastAsia="宋体" w:cs="Times New Roman"/>
                <w:sz w:val="24"/>
              </w:rPr>
            </w:pPr>
            <w:r>
              <w:rPr>
                <w:rFonts w:ascii="Times New Roman" w:hAnsi="Times New Roman" w:eastAsia="宋体" w:cs="Times New Roman"/>
                <w:kern w:val="0"/>
                <w:sz w:val="24"/>
              </w:rPr>
              <w:t>（</w:t>
            </w:r>
            <w:r>
              <w:rPr>
                <w:rStyle w:val="7"/>
                <w:rFonts w:eastAsia="宋体"/>
                <w:color w:val="auto"/>
              </w:rPr>
              <w:t>2026</w:t>
            </w:r>
            <w:r>
              <w:rPr>
                <w:rStyle w:val="10"/>
                <w:rFonts w:hint="default" w:ascii="Times New Roman" w:hAnsi="Times New Roman" w:cs="Times New Roman"/>
                <w:color w:val="auto"/>
              </w:rPr>
              <w:t>年度）</w:t>
            </w:r>
          </w:p>
        </w:tc>
      </w:tr>
      <w:tr>
        <w:tblPrEx>
          <w:tblCellMar>
            <w:top w:w="0" w:type="dxa"/>
            <w:left w:w="108" w:type="dxa"/>
            <w:bottom w:w="0" w:type="dxa"/>
            <w:right w:w="108" w:type="dxa"/>
          </w:tblCellMar>
        </w:tblPrEx>
        <w:trPr>
          <w:trHeight w:val="342" w:hRule="atLeast"/>
        </w:trPr>
        <w:tc>
          <w:tcPr>
            <w:tcW w:w="9621" w:type="dxa"/>
            <w:gridSpan w:val="5"/>
            <w:tcBorders>
              <w:top w:val="nil"/>
              <w:left w:val="nil"/>
              <w:bottom w:val="single" w:color="000000" w:sz="4" w:space="0"/>
              <w:right w:val="nil"/>
            </w:tcBorders>
            <w:shd w:val="clear" w:color="auto" w:fill="auto"/>
            <w:noWrap/>
            <w:vAlign w:val="center"/>
          </w:tcPr>
          <w:p>
            <w:pPr>
              <w:rPr>
                <w:rFonts w:ascii="Times New Roman" w:hAnsi="Times New Roman" w:eastAsia="宋体" w:cs="Times New Roman"/>
                <w:sz w:val="24"/>
              </w:rPr>
            </w:pPr>
          </w:p>
        </w:tc>
      </w:tr>
      <w:tr>
        <w:tblPrEx>
          <w:tblCellMar>
            <w:top w:w="0" w:type="dxa"/>
            <w:left w:w="108" w:type="dxa"/>
            <w:bottom w:w="0" w:type="dxa"/>
            <w:right w:w="108" w:type="dxa"/>
          </w:tblCellMar>
        </w:tblPrEx>
        <w:trPr>
          <w:trHeight w:val="21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r>
              <w:rPr>
                <w:rFonts w:ascii="Times New Roman" w:hAnsi="Times New Roman" w:cs="Times New Roman"/>
                <w:sz w:val="24"/>
              </w:rPr>
              <w:t>金保网网络运行维护费</w:t>
            </w:r>
          </w:p>
        </w:tc>
      </w:tr>
      <w:tr>
        <w:tblPrEx>
          <w:tblCellMar>
            <w:top w:w="0" w:type="dxa"/>
            <w:left w:w="108" w:type="dxa"/>
            <w:bottom w:w="0" w:type="dxa"/>
            <w:right w:w="108" w:type="dxa"/>
          </w:tblCellMar>
        </w:tblPrEx>
        <w:trPr>
          <w:trHeight w:val="245"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r>
              <w:rPr>
                <w:rFonts w:ascii="Times New Roman" w:hAnsi="Times New Roman" w:cs="Times New Roman"/>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项目资金</w:t>
            </w:r>
            <w:r>
              <w:rPr>
                <w:rFonts w:ascii="Times New Roman" w:hAnsi="Times New Roman" w:cs="Times New Roman"/>
                <w:kern w:val="0"/>
                <w:sz w:val="24"/>
              </w:rPr>
              <w:br w:type="textWrapping"/>
            </w:r>
            <w:r>
              <w:rPr>
                <w:rFonts w:ascii="Times New Roman" w:hAnsi="Times New Roman" w:cs="Times New Roman"/>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imes New Roman" w:hAnsi="Times New Roman" w:cs="Times New Roman"/>
                <w:sz w:val="24"/>
              </w:rPr>
            </w:pPr>
            <w:r>
              <w:rPr>
                <w:rFonts w:ascii="Times New Roman" w:hAnsi="Times New Roman" w:cs="Times New Roman"/>
                <w:kern w:val="0"/>
                <w:sz w:val="24"/>
              </w:rPr>
              <w:t>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7.</w:t>
            </w:r>
            <w:r>
              <w:rPr>
                <w:rFonts w:hint="eastAsia" w:ascii="Times New Roman" w:hAnsi="Times New Roman" w:cs="Times New Roman"/>
                <w:sz w:val="24"/>
              </w:rPr>
              <w:t>00</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ind w:firstLine="480" w:firstLineChars="200"/>
              <w:jc w:val="left"/>
              <w:textAlignment w:val="center"/>
              <w:rPr>
                <w:rFonts w:ascii="Times New Roman" w:hAnsi="Times New Roman" w:cs="Times New Roman"/>
                <w:sz w:val="24"/>
              </w:rPr>
            </w:pPr>
            <w:r>
              <w:rPr>
                <w:rFonts w:ascii="Times New Roman" w:hAnsi="Times New Roman" w:cs="Times New Roman"/>
                <w:kern w:val="0"/>
                <w:sz w:val="24"/>
              </w:rPr>
              <w:t>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7.</w:t>
            </w:r>
            <w:r>
              <w:rPr>
                <w:rFonts w:hint="eastAsia" w:ascii="Times New Roman" w:hAnsi="Times New Roman" w:cs="Times New Roman"/>
                <w:sz w:val="24"/>
              </w:rPr>
              <w:t>00</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ind w:firstLine="1200" w:firstLineChars="500"/>
              <w:jc w:val="left"/>
              <w:textAlignment w:val="center"/>
              <w:rPr>
                <w:rFonts w:ascii="Times New Roman" w:hAnsi="Times New Roman" w:cs="Times New Roman"/>
                <w:sz w:val="24"/>
              </w:rPr>
            </w:pPr>
            <w:r>
              <w:rPr>
                <w:rFonts w:ascii="Times New Roman" w:hAnsi="Times New Roman" w:cs="Times New Roman"/>
                <w:kern w:val="0"/>
                <w:sz w:val="24"/>
              </w:rPr>
              <w:t>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r>
      <w:tr>
        <w:tblPrEx>
          <w:tblCellMar>
            <w:top w:w="0" w:type="dxa"/>
            <w:left w:w="108" w:type="dxa"/>
            <w:bottom w:w="0" w:type="dxa"/>
            <w:right w:w="108" w:type="dxa"/>
          </w:tblCellMar>
        </w:tblPrEx>
        <w:trPr>
          <w:trHeight w:val="358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总</w:t>
            </w:r>
            <w:r>
              <w:rPr>
                <w:rFonts w:ascii="Times New Roman" w:hAnsi="Times New Roman" w:cs="Times New Roman"/>
                <w:kern w:val="0"/>
                <w:sz w:val="24"/>
              </w:rPr>
              <w:br w:type="textWrapping"/>
            </w:r>
            <w:r>
              <w:rPr>
                <w:rFonts w:ascii="Times New Roman" w:hAnsi="Times New Roman" w:cs="Times New Roman"/>
                <w:kern w:val="0"/>
                <w:sz w:val="24"/>
              </w:rPr>
              <w:t>体</w:t>
            </w:r>
            <w:r>
              <w:rPr>
                <w:rFonts w:ascii="Times New Roman" w:hAnsi="Times New Roman" w:cs="Times New Roman"/>
                <w:kern w:val="0"/>
                <w:sz w:val="24"/>
              </w:rPr>
              <w:br w:type="textWrapping"/>
            </w:r>
            <w:r>
              <w:rPr>
                <w:rFonts w:ascii="Times New Roman" w:hAnsi="Times New Roman" w:cs="Times New Roman"/>
                <w:kern w:val="0"/>
                <w:sz w:val="24"/>
              </w:rPr>
              <w:t>目</w:t>
            </w:r>
            <w:r>
              <w:rPr>
                <w:rFonts w:ascii="Times New Roman" w:hAnsi="Times New Roman" w:cs="Times New Roman"/>
                <w:kern w:val="0"/>
                <w:sz w:val="24"/>
              </w:rPr>
              <w:br w:type="textWrapping"/>
            </w:r>
            <w:r>
              <w:rPr>
                <w:rFonts w:ascii="Times New Roman" w:hAnsi="Times New Roman" w:cs="Times New Roman"/>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exact"/>
              <w:rPr>
                <w:rFonts w:ascii="Times New Roman" w:hAnsi="Times New Roman" w:cs="Times New Roman"/>
                <w:sz w:val="24"/>
              </w:rPr>
            </w:pPr>
            <w:r>
              <w:rPr>
                <w:rFonts w:ascii="Times New Roman" w:hAnsi="Times New Roman" w:cs="Times New Roman"/>
                <w:sz w:val="24"/>
              </w:rPr>
              <w:t>根据《攀枝花市仁和区人民政府办公室关于印发&lt;攀枝花市仁和区人力资源和社会保障公共服务平台标准化建设方案&gt;的通知》(攀仁府办〔2018〕171号)文件规定，为保障城乡社会保险工作的顺利实施，乡（镇）街办和社区（村）两级劳动就业和社会保障平台所承担城乡社会保险政策宣传培训、业务经办、数据传输、系统维护等工作。2026年金保网网络运行维护费用申请增加预算，核心是响应共同富裕试验区建设要求，完善村一级网络覆盖以提升群众办事便捷度。市人社局为推进攀枝花共同富裕试验区建设，搭建了攀枝花共同富裕试验区低收入群体监测帮扶服务平台，该平台需依托金保网实现数据互通，需要金保网覆盖延伸至村一级，目前我区仍有50余个村尚未接入金保网，无网络支撑导致村民办理相关业务受阻。</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一级</w:t>
            </w:r>
            <w:r>
              <w:rPr>
                <w:rFonts w:ascii="Times New Roman" w:hAnsi="Times New Roman" w:cs="Times New Roman"/>
                <w:kern w:val="0"/>
                <w:sz w:val="24"/>
              </w:rPr>
              <w:br w:type="textWrapping"/>
            </w:r>
            <w:r>
              <w:rPr>
                <w:rFonts w:ascii="Times New Roman" w:hAnsi="Times New Roman" w:cs="Times New Roman"/>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指标值（包含数字及文字描述）</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项目完成</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开通金保网网络数量</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83"/>
              </w:tabs>
              <w:spacing w:line="360" w:lineRule="exact"/>
              <w:jc w:val="left"/>
              <w:rPr>
                <w:rFonts w:ascii="Times New Roman" w:hAnsi="Times New Roman" w:cs="Times New Roman"/>
                <w:sz w:val="24"/>
              </w:rPr>
            </w:pPr>
            <w:r>
              <w:rPr>
                <w:rFonts w:ascii="Times New Roman" w:hAnsi="Times New Roman" w:cs="Times New Roman"/>
                <w:sz w:val="24"/>
              </w:rPr>
              <w:t>金保网网络区域内全覆盖【区、乡（镇）、村（居】</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确保全区就业和社保平台顺畅运行</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让全区就业和社保平台顺畅运行，加强乡镇（街办）和社区（村）两级就业和社会保障平台建设。确保人社政策宣传、培训，数据传输、业务经办、低收入群体监测帮扶服务等工作正常运行</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按工作计划</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2026年全年</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网络租赁费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7.</w:t>
            </w:r>
            <w:r>
              <w:rPr>
                <w:rFonts w:hint="eastAsia" w:ascii="Times New Roman" w:hAnsi="Times New Roman" w:cs="Times New Roman"/>
                <w:sz w:val="24"/>
              </w:rPr>
              <w:t>00</w:t>
            </w:r>
            <w:r>
              <w:rPr>
                <w:rFonts w:ascii="Times New Roman" w:hAnsi="Times New Roman" w:cs="Times New Roman"/>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社会效益</w:t>
            </w:r>
            <w:r>
              <w:rPr>
                <w:rFonts w:ascii="Times New Roman" w:hAnsi="Times New Roman" w:cs="Times New Roman"/>
                <w:kern w:val="0"/>
                <w:sz w:val="24"/>
              </w:rPr>
              <w:br w:type="textWrapping"/>
            </w:r>
            <w:r>
              <w:rPr>
                <w:rFonts w:ascii="Times New Roman" w:hAnsi="Times New Roman" w:cs="Times New Roman"/>
                <w:kern w:val="0"/>
                <w:sz w:val="24"/>
              </w:rPr>
              <w:t>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方便群众办理人社业务</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人社业务延伸到村(社区）实现社保网络全覆盖，让群众少跑路、不跑路，方便群众办事</w:t>
            </w:r>
          </w:p>
        </w:tc>
      </w:tr>
      <w:tr>
        <w:tblPrEx>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imes New Roman" w:hAnsi="Times New Roman" w:cs="Times New Roman"/>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imes New Roman" w:hAnsi="Times New Roman" w:cs="Times New Roman"/>
                <w:sz w:val="24"/>
              </w:rPr>
            </w:pPr>
            <w:r>
              <w:rPr>
                <w:rFonts w:ascii="Times New Roman" w:hAnsi="Times New Roman" w:cs="Times New Roman"/>
                <w:kern w:val="0"/>
                <w:sz w:val="24"/>
              </w:rPr>
              <w:t>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ascii="Times New Roman" w:hAnsi="Times New Roman" w:cs="Times New Roman"/>
                <w:sz w:val="24"/>
              </w:rPr>
              <w:t>群众满意度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imes New Roman" w:hAnsi="Times New Roman" w:cs="Times New Roman"/>
                <w:sz w:val="24"/>
              </w:rPr>
            </w:pPr>
            <w:r>
              <w:rPr>
                <w:rFonts w:hint="eastAsia" w:ascii="宋体" w:hAnsi="宋体" w:eastAsia="宋体" w:cs="宋体"/>
                <w:kern w:val="0"/>
                <w:sz w:val="24"/>
              </w:rPr>
              <w:t>≥9</w:t>
            </w:r>
            <w:r>
              <w:rPr>
                <w:rFonts w:ascii="宋体" w:hAnsi="宋体" w:eastAsia="宋体" w:cs="宋体"/>
                <w:kern w:val="0"/>
                <w:sz w:val="24"/>
              </w:rPr>
              <w:t>0</w:t>
            </w:r>
            <w:r>
              <w:rPr>
                <w:rFonts w:hint="eastAsia" w:ascii="宋体" w:hAnsi="宋体" w:eastAsia="宋体" w:cs="宋体"/>
                <w:kern w:val="0"/>
                <w:sz w:val="24"/>
              </w:rPr>
              <w:t>%</w:t>
            </w:r>
          </w:p>
        </w:tc>
      </w:tr>
    </w:tbl>
    <w:p/>
    <w:p/>
    <w:p/>
    <w:tbl>
      <w:tblPr>
        <w:tblStyle w:val="5"/>
        <w:tblW w:w="9621" w:type="dxa"/>
        <w:tblInd w:w="-464" w:type="dxa"/>
        <w:tblLayout w:type="fixed"/>
        <w:tblCellMar>
          <w:top w:w="0" w:type="dxa"/>
          <w:left w:w="108" w:type="dxa"/>
          <w:bottom w:w="0" w:type="dxa"/>
          <w:right w:w="108" w:type="dxa"/>
        </w:tblCellMar>
      </w:tblPr>
      <w:tblGrid>
        <w:gridCol w:w="810"/>
        <w:gridCol w:w="840"/>
        <w:gridCol w:w="915"/>
        <w:gridCol w:w="2460"/>
        <w:gridCol w:w="4596"/>
      </w:tblGrid>
      <w:tr>
        <w:tblPrEx>
          <w:tblCellMar>
            <w:top w:w="0" w:type="dxa"/>
            <w:left w:w="108" w:type="dxa"/>
            <w:bottom w:w="0" w:type="dxa"/>
            <w:right w:w="108" w:type="dxa"/>
          </w:tblCellMar>
        </w:tblPrEx>
        <w:trPr>
          <w:trHeight w:val="474"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10"/>
                <w:rFonts w:hint="default"/>
                <w:color w:val="auto"/>
              </w:rPr>
              <w:t>年度）</w:t>
            </w:r>
          </w:p>
        </w:tc>
      </w:tr>
      <w:tr>
        <w:tblPrEx>
          <w:tblCellMar>
            <w:top w:w="0" w:type="dxa"/>
            <w:left w:w="108" w:type="dxa"/>
            <w:bottom w:w="0" w:type="dxa"/>
            <w:right w:w="108" w:type="dxa"/>
          </w:tblCellMar>
        </w:tblPrEx>
        <w:trPr>
          <w:trHeight w:val="347" w:hRule="atLeast"/>
        </w:trPr>
        <w:tc>
          <w:tcPr>
            <w:tcW w:w="9621" w:type="dxa"/>
            <w:gridSpan w:val="5"/>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21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社会保障经办劳务费</w:t>
            </w:r>
          </w:p>
        </w:tc>
      </w:tr>
      <w:tr>
        <w:tblPrEx>
          <w:tblCellMar>
            <w:top w:w="0" w:type="dxa"/>
            <w:left w:w="108" w:type="dxa"/>
            <w:bottom w:w="0" w:type="dxa"/>
            <w:right w:w="108" w:type="dxa"/>
          </w:tblCellMar>
        </w:tblPrEx>
        <w:trPr>
          <w:trHeight w:val="245"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项目资金</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17</w:t>
            </w:r>
            <w:r>
              <w:rPr>
                <w:rFonts w:hint="eastAsia" w:asciiTheme="minorEastAsia" w:hAnsiTheme="minorEastAsia" w:cstheme="minorEastAsia"/>
                <w:sz w:val="24"/>
              </w:rPr>
              <w:t>.00</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17</w:t>
            </w:r>
            <w:r>
              <w:rPr>
                <w:rFonts w:hint="eastAsia" w:asciiTheme="minorEastAsia" w:hAnsiTheme="minorEastAsia" w:cstheme="minorEastAsia"/>
                <w:sz w:val="24"/>
              </w:rPr>
              <w:t>.00</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r>
      <w:tr>
        <w:tblPrEx>
          <w:tblCellMar>
            <w:top w:w="0" w:type="dxa"/>
            <w:left w:w="108" w:type="dxa"/>
            <w:bottom w:w="0" w:type="dxa"/>
            <w:right w:w="108" w:type="dxa"/>
          </w:tblCellMar>
        </w:tblPrEx>
        <w:trPr>
          <w:trHeight w:val="141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总</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体</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目</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exact"/>
              <w:rPr>
                <w:rFonts w:asciiTheme="minorEastAsia" w:hAnsiTheme="minorEastAsia" w:cstheme="minorEastAsia"/>
                <w:sz w:val="24"/>
              </w:rPr>
            </w:pPr>
            <w:r>
              <w:rPr>
                <w:rFonts w:hint="eastAsia" w:asciiTheme="minorEastAsia" w:hAnsiTheme="minorEastAsia" w:cstheme="minorEastAsia"/>
                <w:sz w:val="24"/>
              </w:rPr>
              <w:t>保障城乡居民养老保险、企业职工养老保险、工伤保险、机关事业单位养老保险等社会保险业务正常开展，确保各类待遇按时足额发放，保障参保群众权益。</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一级</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指标值（包含数字及文字描述）</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项目完成</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购买服务人数</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83"/>
              </w:tabs>
              <w:spacing w:line="360" w:lineRule="exact"/>
              <w:jc w:val="left"/>
              <w:rPr>
                <w:rFonts w:asciiTheme="minorEastAsia" w:hAnsiTheme="minorEastAsia" w:cstheme="minorEastAsia"/>
                <w:sz w:val="24"/>
              </w:rPr>
            </w:pPr>
            <w:r>
              <w:rPr>
                <w:rFonts w:hint="eastAsia" w:asciiTheme="minorEastAsia" w:hAnsiTheme="minorEastAsia" w:cstheme="minorEastAsia"/>
                <w:sz w:val="24"/>
              </w:rPr>
              <w:t>4人</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保障社会保险业务经办工作顺利开展</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保障城乡居民养老保险、企业职工养老保险、失业保险、机关事业单位等各类社会保险业务正常开展，确保各类待遇按时足额发放</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按工作计划</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2026年全年</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社保经办购买服务劳务费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17.00</w:t>
            </w:r>
            <w:r>
              <w:rPr>
                <w:rFonts w:hint="eastAsia" w:asciiTheme="minorEastAsia" w:hAnsiTheme="minorEastAsia" w:cstheme="minorEastAsia"/>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社会效益</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保障社会保险业务顺利开展</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保障社会保险业务顺利开展，保障参保群众权益</w:t>
            </w:r>
          </w:p>
        </w:tc>
      </w:tr>
      <w:tr>
        <w:tblPrEx>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群众满意度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≥90%</w:t>
            </w:r>
          </w:p>
        </w:tc>
      </w:tr>
    </w:tbl>
    <w:p/>
    <w:p/>
    <w:p/>
    <w:p/>
    <w:p/>
    <w:p/>
    <w:p/>
    <w:p/>
    <w:p/>
    <w:p/>
    <w:p/>
    <w:p/>
    <w:tbl>
      <w:tblPr>
        <w:tblStyle w:val="5"/>
        <w:tblW w:w="9621" w:type="dxa"/>
        <w:tblInd w:w="-464" w:type="dxa"/>
        <w:tblLayout w:type="fixed"/>
        <w:tblCellMar>
          <w:top w:w="0" w:type="dxa"/>
          <w:left w:w="108" w:type="dxa"/>
          <w:bottom w:w="0" w:type="dxa"/>
          <w:right w:w="108" w:type="dxa"/>
        </w:tblCellMar>
      </w:tblPr>
      <w:tblGrid>
        <w:gridCol w:w="810"/>
        <w:gridCol w:w="840"/>
        <w:gridCol w:w="915"/>
        <w:gridCol w:w="2460"/>
        <w:gridCol w:w="4596"/>
      </w:tblGrid>
      <w:tr>
        <w:tblPrEx>
          <w:tblCellMar>
            <w:top w:w="0" w:type="dxa"/>
            <w:left w:w="108" w:type="dxa"/>
            <w:bottom w:w="0" w:type="dxa"/>
            <w:right w:w="108" w:type="dxa"/>
          </w:tblCellMar>
        </w:tblPrEx>
        <w:trPr>
          <w:trHeight w:val="474"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10"/>
                <w:rFonts w:hint="default"/>
                <w:color w:val="auto"/>
              </w:rPr>
              <w:t>年度）</w:t>
            </w:r>
          </w:p>
        </w:tc>
      </w:tr>
      <w:tr>
        <w:tblPrEx>
          <w:tblCellMar>
            <w:top w:w="0" w:type="dxa"/>
            <w:left w:w="108" w:type="dxa"/>
            <w:bottom w:w="0" w:type="dxa"/>
            <w:right w:w="108" w:type="dxa"/>
          </w:tblCellMar>
        </w:tblPrEx>
        <w:trPr>
          <w:trHeight w:val="342" w:hRule="atLeast"/>
        </w:trPr>
        <w:tc>
          <w:tcPr>
            <w:tcW w:w="9621" w:type="dxa"/>
            <w:gridSpan w:val="5"/>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5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劳动人事争议仲裁院购买服务劳务费</w:t>
            </w:r>
          </w:p>
        </w:tc>
      </w:tr>
      <w:tr>
        <w:tblPrEx>
          <w:tblCellMar>
            <w:top w:w="0" w:type="dxa"/>
            <w:left w:w="108" w:type="dxa"/>
            <w:bottom w:w="0" w:type="dxa"/>
            <w:right w:w="108" w:type="dxa"/>
          </w:tblCellMar>
        </w:tblPrEx>
        <w:trPr>
          <w:trHeight w:val="370"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项目资金</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16.15</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16</w:t>
            </w:r>
            <w:r>
              <w:rPr>
                <w:rFonts w:hint="eastAsia" w:asciiTheme="minorEastAsia" w:hAnsiTheme="minorEastAsia" w:cstheme="minorEastAsia"/>
                <w:sz w:val="24"/>
              </w:rPr>
              <w:t>.</w:t>
            </w:r>
            <w:r>
              <w:rPr>
                <w:rFonts w:asciiTheme="minorEastAsia" w:hAnsiTheme="minorEastAsia" w:cstheme="minorEastAsia"/>
                <w:sz w:val="24"/>
              </w:rPr>
              <w:t>15</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r>
      <w:tr>
        <w:tblPrEx>
          <w:tblCellMar>
            <w:top w:w="0" w:type="dxa"/>
            <w:left w:w="108" w:type="dxa"/>
            <w:bottom w:w="0" w:type="dxa"/>
            <w:right w:w="108" w:type="dxa"/>
          </w:tblCellMar>
        </w:tblPrEx>
        <w:trPr>
          <w:trHeight w:val="142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总</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体</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目</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exact"/>
              <w:rPr>
                <w:rFonts w:asciiTheme="minorEastAsia" w:hAnsiTheme="minorEastAsia" w:cstheme="minorEastAsia"/>
                <w:sz w:val="24"/>
              </w:rPr>
            </w:pPr>
            <w:r>
              <w:rPr>
                <w:rFonts w:hint="eastAsia" w:asciiTheme="minorEastAsia" w:hAnsiTheme="minorEastAsia" w:cstheme="minorEastAsia"/>
                <w:sz w:val="24"/>
              </w:rPr>
              <w:t>积极开展劳动法律法规政策宣传、规范用工、化解劳动人事争议等工作，公正及时地处理劳动人事争议案件，为促进我区经济发展，维护社会稳定，构建和谐社会发挥积极作用。2026年预计需资金16.15万元。</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一级</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指标值（包含数字及文字描述）</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项目完成</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辅助办案人员</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83"/>
              </w:tabs>
              <w:spacing w:line="360" w:lineRule="exact"/>
              <w:ind w:firstLine="960" w:firstLineChars="400"/>
              <w:jc w:val="left"/>
              <w:rPr>
                <w:rFonts w:asciiTheme="minorEastAsia" w:hAnsiTheme="minorEastAsia" w:cstheme="minorEastAsia"/>
                <w:sz w:val="24"/>
              </w:rPr>
            </w:pPr>
            <w:r>
              <w:rPr>
                <w:rFonts w:hint="eastAsia" w:asciiTheme="minorEastAsia" w:hAnsiTheme="minorEastAsia" w:cstheme="minorEastAsia"/>
                <w:sz w:val="24"/>
              </w:rPr>
              <w:t>3人</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做好辅助办案工作</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做好书记员、案卷装订等辅助工作，协助仲裁员提升办案速度。</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按工作年度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2026年度</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购买服务劳务费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16.15</w:t>
            </w:r>
            <w:r>
              <w:rPr>
                <w:rFonts w:hint="eastAsia" w:asciiTheme="minorEastAsia" w:hAnsiTheme="minorEastAsia" w:cstheme="minorEastAsia"/>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社会效益</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维护当事人合法权益</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化解矛盾纠纷，维护社会稳定</w:t>
            </w:r>
          </w:p>
        </w:tc>
      </w:tr>
      <w:tr>
        <w:tblPrEx>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服务对象满意度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≥90%</w:t>
            </w:r>
          </w:p>
        </w:tc>
      </w:tr>
    </w:tbl>
    <w:p/>
    <w:p/>
    <w:p/>
    <w:p/>
    <w:p/>
    <w:p/>
    <w:p/>
    <w:p/>
    <w:p/>
    <w:p/>
    <w:p/>
    <w:p/>
    <w:p/>
    <w:tbl>
      <w:tblPr>
        <w:tblStyle w:val="5"/>
        <w:tblW w:w="9621" w:type="dxa"/>
        <w:tblInd w:w="-464" w:type="dxa"/>
        <w:tblLayout w:type="fixed"/>
        <w:tblCellMar>
          <w:top w:w="0" w:type="dxa"/>
          <w:left w:w="108" w:type="dxa"/>
          <w:bottom w:w="0" w:type="dxa"/>
          <w:right w:w="108" w:type="dxa"/>
        </w:tblCellMar>
      </w:tblPr>
      <w:tblGrid>
        <w:gridCol w:w="810"/>
        <w:gridCol w:w="840"/>
        <w:gridCol w:w="915"/>
        <w:gridCol w:w="2460"/>
        <w:gridCol w:w="4596"/>
      </w:tblGrid>
      <w:tr>
        <w:tblPrEx>
          <w:tblCellMar>
            <w:top w:w="0" w:type="dxa"/>
            <w:left w:w="108" w:type="dxa"/>
            <w:bottom w:w="0" w:type="dxa"/>
            <w:right w:w="108" w:type="dxa"/>
          </w:tblCellMar>
        </w:tblPrEx>
        <w:trPr>
          <w:trHeight w:val="474"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10"/>
                <w:rFonts w:hint="default"/>
                <w:color w:val="auto"/>
              </w:rPr>
              <w:t>年度）</w:t>
            </w:r>
          </w:p>
        </w:tc>
      </w:tr>
      <w:tr>
        <w:tblPrEx>
          <w:tblCellMar>
            <w:top w:w="0" w:type="dxa"/>
            <w:left w:w="108" w:type="dxa"/>
            <w:bottom w:w="0" w:type="dxa"/>
            <w:right w:w="108" w:type="dxa"/>
          </w:tblCellMar>
        </w:tblPrEx>
        <w:trPr>
          <w:trHeight w:val="342" w:hRule="atLeast"/>
        </w:trPr>
        <w:tc>
          <w:tcPr>
            <w:tcW w:w="9621" w:type="dxa"/>
            <w:gridSpan w:val="5"/>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5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安保人员购买服务资金</w:t>
            </w:r>
          </w:p>
        </w:tc>
      </w:tr>
      <w:tr>
        <w:tblPrEx>
          <w:tblCellMar>
            <w:top w:w="0" w:type="dxa"/>
            <w:left w:w="108" w:type="dxa"/>
            <w:bottom w:w="0" w:type="dxa"/>
            <w:right w:w="108" w:type="dxa"/>
          </w:tblCellMar>
        </w:tblPrEx>
        <w:trPr>
          <w:trHeight w:val="370"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r>
              <w:rPr>
                <w:rFonts w:hint="eastAsia" w:asciiTheme="minorEastAsia" w:hAnsiTheme="minorEastAsia" w:cstheme="minorEastAsia"/>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项目资金</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7.14</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7.14</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spacing w:line="360" w:lineRule="exact"/>
              <w:jc w:val="left"/>
              <w:textAlignment w:val="center"/>
              <w:rPr>
                <w:rFonts w:asciiTheme="minorEastAsia" w:hAnsiTheme="minorEastAsia" w:cstheme="minorEastAsia"/>
                <w:sz w:val="24"/>
              </w:rPr>
            </w:pPr>
            <w:r>
              <w:rPr>
                <w:rFonts w:hint="eastAsia" w:asciiTheme="minorEastAsia" w:hAnsiTheme="minorEastAsia" w:cstheme="minorEastAsia"/>
                <w:kern w:val="0"/>
                <w:sz w:val="24"/>
              </w:rPr>
              <w:t xml:space="preserve">              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r>
      <w:tr>
        <w:tblPrEx>
          <w:tblCellMar>
            <w:top w:w="0" w:type="dxa"/>
            <w:left w:w="108" w:type="dxa"/>
            <w:bottom w:w="0" w:type="dxa"/>
            <w:right w:w="108" w:type="dxa"/>
          </w:tblCellMar>
        </w:tblPrEx>
        <w:trPr>
          <w:trHeight w:val="142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总</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体</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目</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exact"/>
              <w:rPr>
                <w:rFonts w:asciiTheme="minorEastAsia" w:hAnsiTheme="minorEastAsia" w:cstheme="minorEastAsia"/>
                <w:sz w:val="24"/>
              </w:rPr>
            </w:pPr>
            <w:r>
              <w:rPr>
                <w:rFonts w:hint="eastAsia" w:asciiTheme="minorEastAsia" w:hAnsiTheme="minorEastAsia" w:cstheme="minorEastAsia"/>
                <w:sz w:val="24"/>
              </w:rPr>
              <w:t>维护单位良好安全秩序和工作环境，更好地推进我局承担的全区农民工维权管理职责，协调处理因各类劳动纠纷造成的来访人员工作，同时，负责巡逻、安全检查等工作，确保工作岗位的安全。</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一级</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指标值（包含数字及文字描述）</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项目完成</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购买服务人数</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83"/>
              </w:tabs>
              <w:spacing w:line="360" w:lineRule="exact"/>
              <w:jc w:val="left"/>
              <w:rPr>
                <w:rFonts w:asciiTheme="minorEastAsia" w:hAnsiTheme="minorEastAsia" w:cstheme="minorEastAsia"/>
                <w:sz w:val="24"/>
              </w:rPr>
            </w:pPr>
            <w:r>
              <w:rPr>
                <w:rFonts w:hint="eastAsia" w:asciiTheme="minorEastAsia" w:hAnsiTheme="minorEastAsia" w:cstheme="minorEastAsia"/>
                <w:sz w:val="24"/>
              </w:rPr>
              <w:t>长期派驻2名安保人员</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维护良好秩序和工作环境</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严格治安防范，避免安全事故发生，维护良好秩序和工作环境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按工作年度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2026年度</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购买服务劳务费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asciiTheme="minorEastAsia" w:hAnsiTheme="minorEastAsia" w:cstheme="minorEastAsia"/>
                <w:sz w:val="24"/>
              </w:rPr>
              <w:t>7.14</w:t>
            </w:r>
            <w:r>
              <w:rPr>
                <w:rFonts w:hint="eastAsia" w:asciiTheme="minorEastAsia" w:hAnsiTheme="minorEastAsia" w:cstheme="minorEastAsia"/>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社会效益</w:t>
            </w:r>
            <w:r>
              <w:rPr>
                <w:rFonts w:hint="eastAsia" w:asciiTheme="minorEastAsia" w:hAnsiTheme="minorEastAsia" w:cstheme="minorEastAsia"/>
                <w:kern w:val="0"/>
                <w:sz w:val="24"/>
              </w:rPr>
              <w:br w:type="textWrapping"/>
            </w:r>
            <w:r>
              <w:rPr>
                <w:rFonts w:hint="eastAsia" w:asciiTheme="minorEastAsia" w:hAnsiTheme="minorEastAsia" w:cstheme="minorEastAsia"/>
                <w:kern w:val="0"/>
                <w:sz w:val="24"/>
              </w:rPr>
              <w:t>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避免安全事故发生，维护良好秩序</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避免安全事故发生，维护良好秩序和工作环境，协调因各类劳动纠纷造成的来访人员工作</w:t>
            </w:r>
            <w:bookmarkStart w:id="0" w:name="_GoBack"/>
            <w:bookmarkEnd w:id="0"/>
          </w:p>
        </w:tc>
      </w:tr>
      <w:tr>
        <w:tblPrEx>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center"/>
              <w:rPr>
                <w:rFonts w:asciiTheme="minorEastAsia" w:hAnsiTheme="minorEastAsia" w:cstheme="minorEastAsia"/>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60" w:lineRule="exact"/>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服务对象满意度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exact"/>
              <w:jc w:val="left"/>
              <w:rPr>
                <w:rFonts w:asciiTheme="minorEastAsia" w:hAnsiTheme="minorEastAsia" w:cstheme="minorEastAsia"/>
                <w:sz w:val="24"/>
              </w:rPr>
            </w:pPr>
            <w:r>
              <w:rPr>
                <w:rFonts w:hint="eastAsia" w:asciiTheme="minorEastAsia" w:hAnsiTheme="minorEastAsia" w:cstheme="minorEastAsia"/>
                <w:sz w:val="24"/>
              </w:rPr>
              <w:t>≥90%</w:t>
            </w:r>
          </w:p>
        </w:tc>
      </w:tr>
    </w:tbl>
    <w:p/>
    <w:p/>
    <w:p/>
    <w:p/>
    <w:p/>
    <w:p/>
    <w:p/>
    <w:p/>
    <w:p/>
    <w:p/>
    <w:p/>
    <w:p/>
    <w:p/>
    <w:p/>
    <w:tbl>
      <w:tblPr>
        <w:tblStyle w:val="5"/>
        <w:tblW w:w="9621" w:type="dxa"/>
        <w:tblInd w:w="-464" w:type="dxa"/>
        <w:tblLayout w:type="fixed"/>
        <w:tblCellMar>
          <w:top w:w="0" w:type="dxa"/>
          <w:left w:w="108" w:type="dxa"/>
          <w:bottom w:w="0" w:type="dxa"/>
          <w:right w:w="108" w:type="dxa"/>
        </w:tblCellMar>
      </w:tblPr>
      <w:tblGrid>
        <w:gridCol w:w="810"/>
        <w:gridCol w:w="840"/>
        <w:gridCol w:w="915"/>
        <w:gridCol w:w="2460"/>
        <w:gridCol w:w="4596"/>
      </w:tblGrid>
      <w:tr>
        <w:tblPrEx>
          <w:tblCellMar>
            <w:top w:w="0" w:type="dxa"/>
            <w:left w:w="108" w:type="dxa"/>
            <w:bottom w:w="0" w:type="dxa"/>
            <w:right w:w="108" w:type="dxa"/>
          </w:tblCellMar>
        </w:tblPrEx>
        <w:trPr>
          <w:trHeight w:val="474"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10"/>
                <w:rFonts w:hint="default"/>
                <w:color w:val="auto"/>
              </w:rPr>
              <w:t>年度）</w:t>
            </w:r>
          </w:p>
        </w:tc>
      </w:tr>
      <w:tr>
        <w:tblPrEx>
          <w:tblCellMar>
            <w:top w:w="0" w:type="dxa"/>
            <w:left w:w="108" w:type="dxa"/>
            <w:bottom w:w="0" w:type="dxa"/>
            <w:right w:w="108" w:type="dxa"/>
          </w:tblCellMar>
        </w:tblPrEx>
        <w:trPr>
          <w:trHeight w:val="342" w:hRule="atLeast"/>
        </w:trPr>
        <w:tc>
          <w:tcPr>
            <w:tcW w:w="9621" w:type="dxa"/>
            <w:gridSpan w:val="5"/>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5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根治拖欠农民工工资工作专项经费</w:t>
            </w:r>
          </w:p>
        </w:tc>
      </w:tr>
      <w:tr>
        <w:tblPrEx>
          <w:tblCellMar>
            <w:top w:w="0" w:type="dxa"/>
            <w:left w:w="108" w:type="dxa"/>
            <w:bottom w:w="0" w:type="dxa"/>
            <w:right w:w="108" w:type="dxa"/>
          </w:tblCellMar>
        </w:tblPrEx>
        <w:trPr>
          <w:trHeight w:val="370"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ascii="宋体" w:hAnsi="宋体" w:eastAsia="宋体" w:cs="宋体"/>
                <w:sz w:val="24"/>
              </w:rPr>
              <w:t>4</w:t>
            </w:r>
            <w:r>
              <w:rPr>
                <w:rFonts w:hint="eastAsia" w:ascii="宋体" w:hAnsi="宋体" w:eastAsia="宋体" w:cs="宋体"/>
                <w:sz w:val="24"/>
              </w:rPr>
              <w:t>.00</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ascii="宋体" w:hAnsi="宋体" w:eastAsia="宋体" w:cs="宋体"/>
                <w:sz w:val="24"/>
              </w:rPr>
              <w:t>4</w:t>
            </w:r>
            <w:r>
              <w:rPr>
                <w:rFonts w:hint="eastAsia" w:ascii="宋体" w:hAnsi="宋体" w:eastAsia="宋体" w:cs="宋体"/>
                <w:sz w:val="24"/>
              </w:rPr>
              <w:t>.00</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r>
      <w:tr>
        <w:tblPrEx>
          <w:tblCellMar>
            <w:top w:w="0" w:type="dxa"/>
            <w:left w:w="108" w:type="dxa"/>
            <w:bottom w:w="0" w:type="dxa"/>
            <w:right w:w="108" w:type="dxa"/>
          </w:tblCellMar>
        </w:tblPrEx>
        <w:trPr>
          <w:trHeight w:val="2400"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r>
              <w:rPr>
                <w:rFonts w:hint="eastAsia"/>
                <w:sz w:val="24"/>
              </w:rPr>
              <w:t>深入学习贯彻党的二十届四中全会精神和党中央、国务院、省委、省政府的决策部署，坚持完善机制、齐抓共管、标本兼治，综合运用法律、行政、经济等手段，以“分账建账”“总包直接通过专户由银行代发农民工工资”“按月足额实名发放”“政府投资工程零欠薪”为统领，强化目标管理和专项考核，全面夯实保障农民工工资支付工作的基础，扎实形成可防可控、常态长效的工作局面。</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842"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项目完成</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数量指标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出差次数</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83"/>
              </w:tabs>
              <w:jc w:val="left"/>
              <w:rPr>
                <w:rFonts w:ascii="宋体" w:hAnsi="宋体" w:eastAsia="宋体" w:cs="宋体"/>
                <w:sz w:val="24"/>
              </w:rPr>
            </w:pPr>
            <w:r>
              <w:rPr>
                <w:rFonts w:ascii="宋体" w:hAnsi="宋体" w:eastAsia="宋体" w:cs="宋体"/>
                <w:sz w:val="24"/>
              </w:rPr>
              <w:t>预计执法人员、执法辅助人员外出办案、检查≥50人次</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做好根治欠薪工作</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保障全区在建项目、重点企业的农民工工资支付工作，确保实现基本无欠薪的目标，其中政府投资项目实现零欠薪</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按工作方案</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2026年全年</w:t>
            </w:r>
          </w:p>
        </w:tc>
      </w:tr>
      <w:tr>
        <w:tblPrEx>
          <w:tblCellMar>
            <w:top w:w="0" w:type="dxa"/>
            <w:left w:w="108" w:type="dxa"/>
            <w:bottom w:w="0" w:type="dxa"/>
            <w:right w:w="108" w:type="dxa"/>
          </w:tblCellMar>
        </w:tblPrEx>
        <w:trPr>
          <w:trHeight w:val="494"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915"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差旅费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1.5万元</w:t>
            </w:r>
          </w:p>
        </w:tc>
      </w:tr>
      <w:tr>
        <w:tblPrEx>
          <w:tblCellMar>
            <w:top w:w="0" w:type="dxa"/>
            <w:left w:w="108" w:type="dxa"/>
            <w:bottom w:w="0" w:type="dxa"/>
            <w:right w:w="108" w:type="dxa"/>
          </w:tblCellMar>
        </w:tblPrEx>
        <w:trPr>
          <w:trHeight w:val="472"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915"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其他商品和服务支出 </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宣传资料、执法制服购置等费用0.5万元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915"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办公经费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2万元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加强根治拖欠农民工工资工作</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加强根治拖欠农民工工资工作，维护社会稳定</w:t>
            </w:r>
          </w:p>
        </w:tc>
      </w:tr>
      <w:tr>
        <w:tblPrEx>
          <w:tblCellMar>
            <w:top w:w="0" w:type="dxa"/>
            <w:left w:w="108" w:type="dxa"/>
            <w:bottom w:w="0" w:type="dxa"/>
            <w:right w:w="108" w:type="dxa"/>
          </w:tblCellMar>
        </w:tblPrEx>
        <w:trPr>
          <w:trHeight w:val="109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服务对象满意度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hint="eastAsia" w:ascii="宋体" w:hAnsi="宋体" w:eastAsia="宋体" w:cs="宋体"/>
                <w:sz w:val="24"/>
              </w:rPr>
              <w:t>≥90%</w:t>
            </w:r>
          </w:p>
        </w:tc>
      </w:tr>
    </w:tbl>
    <w:p/>
    <w:p/>
    <w:p/>
    <w:p/>
    <w:p/>
    <w:p/>
    <w:p/>
    <w:p/>
    <w:p/>
    <w:p/>
    <w:p/>
    <w:tbl>
      <w:tblPr>
        <w:tblStyle w:val="5"/>
        <w:tblW w:w="9621" w:type="dxa"/>
        <w:tblInd w:w="-464" w:type="dxa"/>
        <w:tblLayout w:type="fixed"/>
        <w:tblCellMar>
          <w:top w:w="0" w:type="dxa"/>
          <w:left w:w="108" w:type="dxa"/>
          <w:bottom w:w="0" w:type="dxa"/>
          <w:right w:w="108" w:type="dxa"/>
        </w:tblCellMar>
      </w:tblPr>
      <w:tblGrid>
        <w:gridCol w:w="810"/>
        <w:gridCol w:w="840"/>
        <w:gridCol w:w="1480"/>
        <w:gridCol w:w="1895"/>
        <w:gridCol w:w="4596"/>
      </w:tblGrid>
      <w:tr>
        <w:tblPrEx>
          <w:tblCellMar>
            <w:top w:w="0" w:type="dxa"/>
            <w:left w:w="108" w:type="dxa"/>
            <w:bottom w:w="0" w:type="dxa"/>
            <w:right w:w="108" w:type="dxa"/>
          </w:tblCellMar>
        </w:tblPrEx>
        <w:trPr>
          <w:trHeight w:val="487"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b/>
                <w:bCs/>
                <w:sz w:val="32"/>
                <w:szCs w:val="32"/>
              </w:rPr>
            </w:pPr>
            <w:r>
              <w:rPr>
                <w:rFonts w:hint="eastAsia" w:ascii="宋体" w:hAnsi="宋体" w:eastAsia="宋体" w:cs="宋体"/>
                <w:b/>
                <w:bCs/>
                <w:kern w:val="0"/>
                <w:sz w:val="32"/>
                <w:szCs w:val="32"/>
              </w:rPr>
              <w:t>其他运转类项目支出绩效目标申报表</w:t>
            </w:r>
          </w:p>
        </w:tc>
      </w:tr>
      <w:tr>
        <w:tblPrEx>
          <w:tblCellMar>
            <w:top w:w="0" w:type="dxa"/>
            <w:left w:w="108" w:type="dxa"/>
            <w:bottom w:w="0" w:type="dxa"/>
            <w:right w:w="108" w:type="dxa"/>
          </w:tblCellMar>
        </w:tblPrEx>
        <w:trPr>
          <w:trHeight w:val="285" w:hRule="atLeast"/>
        </w:trPr>
        <w:tc>
          <w:tcPr>
            <w:tcW w:w="9621" w:type="dxa"/>
            <w:gridSpan w:val="5"/>
            <w:tcBorders>
              <w:top w:val="nil"/>
              <w:left w:val="nil"/>
              <w:bottom w:val="nil"/>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w:t>
            </w:r>
            <w:r>
              <w:rPr>
                <w:rStyle w:val="7"/>
                <w:rFonts w:eastAsia="宋体"/>
                <w:color w:val="auto"/>
              </w:rPr>
              <w:t>2026</w:t>
            </w:r>
            <w:r>
              <w:rPr>
                <w:rStyle w:val="10"/>
                <w:rFonts w:hint="default"/>
                <w:color w:val="auto"/>
              </w:rPr>
              <w:t>年度）</w:t>
            </w:r>
          </w:p>
        </w:tc>
      </w:tr>
      <w:tr>
        <w:tblPrEx>
          <w:tblCellMar>
            <w:top w:w="0" w:type="dxa"/>
            <w:left w:w="108" w:type="dxa"/>
            <w:bottom w:w="0" w:type="dxa"/>
            <w:right w:w="108" w:type="dxa"/>
          </w:tblCellMar>
        </w:tblPrEx>
        <w:trPr>
          <w:trHeight w:val="342" w:hRule="atLeast"/>
        </w:trPr>
        <w:tc>
          <w:tcPr>
            <w:tcW w:w="9621" w:type="dxa"/>
            <w:gridSpan w:val="5"/>
            <w:tcBorders>
              <w:top w:val="nil"/>
              <w:left w:val="nil"/>
              <w:bottom w:val="single" w:color="000000" w:sz="4" w:space="0"/>
              <w:right w:val="nil"/>
            </w:tcBorders>
            <w:shd w:val="clear" w:color="auto" w:fill="auto"/>
            <w:noWrap/>
            <w:vAlign w:val="center"/>
          </w:tcPr>
          <w:p>
            <w:pPr>
              <w:rPr>
                <w:rFonts w:ascii="宋体" w:hAnsi="宋体" w:eastAsia="宋体" w:cs="宋体"/>
                <w:sz w:val="24"/>
              </w:rPr>
            </w:pPr>
          </w:p>
        </w:tc>
      </w:tr>
      <w:tr>
        <w:tblPrEx>
          <w:tblCellMar>
            <w:top w:w="0" w:type="dxa"/>
            <w:left w:w="108" w:type="dxa"/>
            <w:bottom w:w="0" w:type="dxa"/>
            <w:right w:w="108" w:type="dxa"/>
          </w:tblCellMar>
        </w:tblPrEx>
        <w:trPr>
          <w:trHeight w:val="452"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项目名称</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仁和区事业单位公开招聘工作人员工作经费</w:t>
            </w:r>
          </w:p>
        </w:tc>
      </w:tr>
      <w:tr>
        <w:tblPrEx>
          <w:tblCellMar>
            <w:top w:w="0" w:type="dxa"/>
            <w:left w:w="108" w:type="dxa"/>
            <w:bottom w:w="0" w:type="dxa"/>
            <w:right w:w="108" w:type="dxa"/>
          </w:tblCellMar>
        </w:tblPrEx>
        <w:trPr>
          <w:trHeight w:val="370" w:hRule="atLeast"/>
        </w:trPr>
        <w:tc>
          <w:tcPr>
            <w:tcW w:w="1650"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预算单位</w:t>
            </w:r>
          </w:p>
        </w:tc>
        <w:tc>
          <w:tcPr>
            <w:tcW w:w="79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r>
              <w:rPr>
                <w:rFonts w:hint="eastAsia" w:ascii="宋体" w:hAnsi="宋体" w:eastAsia="宋体" w:cs="宋体"/>
                <w:sz w:val="24"/>
              </w:rPr>
              <w:t>攀枝花市仁和区人力资源和社会保障局</w:t>
            </w:r>
          </w:p>
        </w:tc>
      </w:tr>
      <w:tr>
        <w:tblPrEx>
          <w:tblCellMar>
            <w:top w:w="0" w:type="dxa"/>
            <w:left w:w="108" w:type="dxa"/>
            <w:bottom w:w="0" w:type="dxa"/>
            <w:right w:w="108" w:type="dxa"/>
          </w:tblCellMar>
        </w:tblPrEx>
        <w:trPr>
          <w:trHeight w:val="290" w:hRule="atLeast"/>
        </w:trPr>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项目资金</w:t>
            </w:r>
            <w:r>
              <w:rPr>
                <w:rFonts w:hint="eastAsia" w:ascii="宋体" w:hAnsi="宋体" w:eastAsia="宋体" w:cs="宋体"/>
                <w:kern w:val="0"/>
                <w:sz w:val="24"/>
              </w:rPr>
              <w:br w:type="textWrapping"/>
            </w:r>
            <w:r>
              <w:rPr>
                <w:rFonts w:hint="eastAsia" w:ascii="宋体" w:hAnsi="宋体" w:eastAsia="宋体" w:cs="宋体"/>
                <w:kern w:val="0"/>
                <w:sz w:val="24"/>
              </w:rPr>
              <w:t>（万元）</w:t>
            </w: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年度资金总额:</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ascii="宋体" w:hAnsi="宋体" w:eastAsia="宋体" w:cs="宋体"/>
                <w:sz w:val="24"/>
              </w:rPr>
              <w:t>15</w:t>
            </w:r>
            <w:r>
              <w:rPr>
                <w:rFonts w:hint="eastAsia" w:ascii="宋体" w:hAnsi="宋体" w:eastAsia="宋体" w:cs="宋体"/>
                <w:sz w:val="24"/>
              </w:rPr>
              <w:t>.00</w:t>
            </w:r>
          </w:p>
        </w:tc>
      </w:tr>
      <w:tr>
        <w:tblPrEx>
          <w:tblCellMar>
            <w:top w:w="0" w:type="dxa"/>
            <w:left w:w="108" w:type="dxa"/>
            <w:bottom w:w="0" w:type="dxa"/>
            <w:right w:w="108" w:type="dxa"/>
          </w:tblCellMar>
        </w:tblPrEx>
        <w:trPr>
          <w:trHeight w:val="30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其中：财政拨款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r>
              <w:rPr>
                <w:rFonts w:ascii="宋体" w:hAnsi="宋体" w:eastAsia="宋体" w:cs="宋体"/>
                <w:sz w:val="24"/>
              </w:rPr>
              <w:t>15</w:t>
            </w:r>
            <w:r>
              <w:rPr>
                <w:rFonts w:hint="eastAsia" w:ascii="宋体" w:hAnsi="宋体" w:eastAsia="宋体" w:cs="宋体"/>
                <w:sz w:val="24"/>
              </w:rPr>
              <w:t>.00</w:t>
            </w:r>
          </w:p>
        </w:tc>
      </w:tr>
      <w:tr>
        <w:tblPrEx>
          <w:tblCellMar>
            <w:top w:w="0" w:type="dxa"/>
            <w:left w:w="108" w:type="dxa"/>
            <w:bottom w:w="0" w:type="dxa"/>
            <w:right w:w="108" w:type="dxa"/>
          </w:tblCellMar>
        </w:tblPrEx>
        <w:trPr>
          <w:trHeight w:val="375" w:hRule="atLeast"/>
        </w:trPr>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3375" w:type="dxa"/>
            <w:gridSpan w:val="2"/>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eastAsia="宋体" w:cs="宋体"/>
                <w:sz w:val="24"/>
              </w:rPr>
            </w:pPr>
            <w:r>
              <w:rPr>
                <w:rFonts w:hint="eastAsia" w:ascii="宋体" w:hAnsi="宋体" w:eastAsia="宋体" w:cs="宋体"/>
                <w:kern w:val="0"/>
                <w:sz w:val="24"/>
              </w:rPr>
              <w:t xml:space="preserve">              其他资金</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sz w:val="24"/>
              </w:rPr>
            </w:pPr>
          </w:p>
        </w:tc>
      </w:tr>
      <w:tr>
        <w:tblPrEx>
          <w:tblCellMar>
            <w:top w:w="0" w:type="dxa"/>
            <w:left w:w="108" w:type="dxa"/>
            <w:bottom w:w="0" w:type="dxa"/>
            <w:right w:w="108" w:type="dxa"/>
          </w:tblCellMar>
        </w:tblPrEx>
        <w:trPr>
          <w:trHeight w:val="1883"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总</w:t>
            </w:r>
            <w:r>
              <w:rPr>
                <w:rFonts w:hint="eastAsia" w:ascii="宋体" w:hAnsi="宋体" w:eastAsia="宋体" w:cs="宋体"/>
                <w:kern w:val="0"/>
                <w:sz w:val="24"/>
              </w:rPr>
              <w:br w:type="textWrapping"/>
            </w:r>
            <w:r>
              <w:rPr>
                <w:rFonts w:hint="eastAsia" w:ascii="宋体" w:hAnsi="宋体" w:eastAsia="宋体" w:cs="宋体"/>
                <w:kern w:val="0"/>
                <w:sz w:val="24"/>
              </w:rPr>
              <w:t>体</w:t>
            </w:r>
            <w:r>
              <w:rPr>
                <w:rFonts w:hint="eastAsia" w:ascii="宋体" w:hAnsi="宋体" w:eastAsia="宋体" w:cs="宋体"/>
                <w:kern w:val="0"/>
                <w:sz w:val="24"/>
              </w:rPr>
              <w:br w:type="textWrapping"/>
            </w:r>
            <w:r>
              <w:rPr>
                <w:rFonts w:hint="eastAsia" w:ascii="宋体" w:hAnsi="宋体" w:eastAsia="宋体" w:cs="宋体"/>
                <w:kern w:val="0"/>
                <w:sz w:val="24"/>
              </w:rPr>
              <w:t>目</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88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r>
              <w:rPr>
                <w:rFonts w:hint="eastAsia"/>
                <w:sz w:val="24"/>
              </w:rPr>
              <w:t>根据中央、省市有关要求，为缓解就业困难，增加事业单位工作人员公开招聘和高校引才等场次，同时为规范事业单位人事相关考试工作，区级教师和医疗卫生系统专业技术人员考核考试招聘工作一并纳入统一开展，及时补充全区事业单位工作人员，不断充实事业单位人才力量。</w:t>
            </w:r>
          </w:p>
        </w:tc>
      </w:tr>
      <w:tr>
        <w:tblPrEx>
          <w:tblCellMar>
            <w:top w:w="0" w:type="dxa"/>
            <w:left w:w="108" w:type="dxa"/>
            <w:bottom w:w="0" w:type="dxa"/>
            <w:right w:w="108" w:type="dxa"/>
          </w:tblCellMar>
        </w:tblPrEx>
        <w:trPr>
          <w:trHeight w:val="534" w:hRule="atLeast"/>
        </w:trPr>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绩效指标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一级</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二级指标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三级指标</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指标值（包含数字及文字描述）</w:t>
            </w:r>
          </w:p>
        </w:tc>
      </w:tr>
      <w:tr>
        <w:tblPrEx>
          <w:tblCellMar>
            <w:top w:w="0" w:type="dxa"/>
            <w:left w:w="108" w:type="dxa"/>
            <w:bottom w:w="0" w:type="dxa"/>
            <w:right w:w="108" w:type="dxa"/>
          </w:tblCellMar>
        </w:tblPrEx>
        <w:trPr>
          <w:trHeight w:val="1283"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宋体" w:hAnsi="宋体" w:eastAsia="宋体" w:cs="宋体"/>
                <w:kern w:val="0"/>
                <w:sz w:val="24"/>
              </w:rPr>
            </w:pPr>
            <w:r>
              <w:rPr>
                <w:rFonts w:hint="eastAsia" w:ascii="宋体" w:hAnsi="宋体" w:eastAsia="宋体" w:cs="宋体"/>
                <w:kern w:val="0"/>
                <w:sz w:val="24"/>
              </w:rPr>
              <w:t>项目完成</w:t>
            </w:r>
          </w:p>
        </w:tc>
        <w:tc>
          <w:tcPr>
            <w:tcW w:w="14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kern w:val="0"/>
                <w:sz w:val="24"/>
              </w:rPr>
              <w:t>数量指标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kern w:val="0"/>
                <w:sz w:val="24"/>
              </w:rPr>
            </w:pPr>
            <w:r>
              <w:rPr>
                <w:rFonts w:hint="eastAsia" w:ascii="宋体" w:hAnsi="宋体" w:eastAsia="宋体" w:cs="宋体"/>
                <w:kern w:val="0"/>
                <w:sz w:val="24"/>
              </w:rPr>
              <w:t>按照工作安排和编制空缺开展招聘</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kern w:val="0"/>
                <w:sz w:val="24"/>
              </w:rPr>
            </w:pPr>
            <w:r>
              <w:rPr>
                <w:rFonts w:hint="eastAsia" w:asciiTheme="minorEastAsia" w:hAnsiTheme="minorEastAsia" w:cstheme="minorEastAsia"/>
                <w:sz w:val="24"/>
              </w:rPr>
              <w:t>全年招聘事业单位工作人员、各类人才≥20人</w:t>
            </w:r>
          </w:p>
        </w:tc>
      </w:tr>
      <w:tr>
        <w:tblPrEx>
          <w:tblCellMar>
            <w:top w:w="0" w:type="dxa"/>
            <w:left w:w="108" w:type="dxa"/>
            <w:bottom w:w="0" w:type="dxa"/>
            <w:right w:w="108" w:type="dxa"/>
          </w:tblCellMar>
        </w:tblPrEx>
        <w:trPr>
          <w:trHeight w:val="1851"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14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质量指标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按照工作安排和编制空缺开展招聘工作，确保招聘工作顺利实施</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做好全区事业单位工作人员（含区级教体、卫健系统）公开招聘、春秋两季引才、事公开考调、直接考核招聘博士和副高职称及以上高层次人才等人事考试考务，充实全区事业单位工作人员</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时效指标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完成招考工作计划</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2026年度</w:t>
            </w:r>
          </w:p>
        </w:tc>
      </w:tr>
      <w:tr>
        <w:tblPrEx>
          <w:tblCellMar>
            <w:top w:w="0" w:type="dxa"/>
            <w:left w:w="108" w:type="dxa"/>
            <w:bottom w:w="0" w:type="dxa"/>
            <w:right w:w="108" w:type="dxa"/>
          </w:tblCellMar>
        </w:tblPrEx>
        <w:trPr>
          <w:trHeight w:val="569"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48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成本指标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市外引才人员差旅费</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ascii="宋体" w:hAnsi="宋体" w:eastAsia="宋体" w:cs="宋体"/>
                <w:kern w:val="0"/>
                <w:sz w:val="24"/>
              </w:rPr>
              <w:t>1</w:t>
            </w:r>
            <w:r>
              <w:rPr>
                <w:rFonts w:hint="eastAsia" w:ascii="宋体" w:hAnsi="宋体" w:eastAsia="宋体" w:cs="宋体"/>
                <w:kern w:val="0"/>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480"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人事考试考核考务支出</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ascii="宋体" w:hAnsi="宋体" w:eastAsia="宋体" w:cs="宋体"/>
                <w:kern w:val="0"/>
                <w:sz w:val="24"/>
              </w:rPr>
              <w:t>11</w:t>
            </w:r>
            <w:r>
              <w:rPr>
                <w:rFonts w:hint="eastAsia" w:ascii="宋体" w:hAnsi="宋体" w:eastAsia="宋体" w:cs="宋体"/>
                <w:kern w:val="0"/>
                <w:sz w:val="24"/>
              </w:rPr>
              <w:t>万元</w:t>
            </w:r>
          </w:p>
        </w:tc>
      </w:tr>
      <w:tr>
        <w:tblPrEx>
          <w:tblCellMar>
            <w:top w:w="0" w:type="dxa"/>
            <w:left w:w="108" w:type="dxa"/>
            <w:bottom w:w="0" w:type="dxa"/>
            <w:right w:w="108" w:type="dxa"/>
          </w:tblCellMar>
        </w:tblPrEx>
        <w:trPr>
          <w:trHeight w:val="432"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480" w:type="dxa"/>
            <w:vMerge w:val="continue"/>
            <w:tcBorders>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考务办公耗材</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ascii="宋体" w:hAnsi="宋体" w:eastAsia="宋体" w:cs="宋体"/>
                <w:kern w:val="0"/>
                <w:sz w:val="24"/>
              </w:rPr>
              <w:t>2</w:t>
            </w:r>
            <w:r>
              <w:rPr>
                <w:rFonts w:hint="eastAsia" w:ascii="宋体" w:hAnsi="宋体" w:eastAsia="宋体" w:cs="宋体"/>
                <w:kern w:val="0"/>
                <w:sz w:val="24"/>
              </w:rPr>
              <w:t>万元</w:t>
            </w:r>
          </w:p>
        </w:tc>
      </w:tr>
      <w:tr>
        <w:tblPrEx>
          <w:tblCellMar>
            <w:top w:w="0" w:type="dxa"/>
            <w:left w:w="108" w:type="dxa"/>
            <w:bottom w:w="0" w:type="dxa"/>
            <w:right w:w="108" w:type="dxa"/>
          </w:tblCellMar>
        </w:tblPrEx>
        <w:trPr>
          <w:trHeight w:val="38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1480"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命题人员费用</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ascii="宋体" w:hAnsi="宋体" w:eastAsia="宋体" w:cs="宋体"/>
                <w:kern w:val="0"/>
                <w:sz w:val="24"/>
              </w:rPr>
              <w:t>1</w:t>
            </w:r>
            <w:r>
              <w:rPr>
                <w:rFonts w:hint="eastAsia" w:ascii="宋体" w:hAnsi="宋体" w:eastAsia="宋体" w:cs="宋体"/>
                <w:kern w:val="0"/>
                <w:sz w:val="24"/>
              </w:rPr>
              <w:t>万元</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restart"/>
            <w:tcBorders>
              <w:top w:val="single" w:color="000000" w:sz="4" w:space="0"/>
              <w:left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项目效益</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加强全区事业单位人才队伍建设</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及时补充全区事业人员，充实事业单位人才队伍力量</w:t>
            </w:r>
          </w:p>
        </w:tc>
      </w:tr>
      <w:tr>
        <w:tblPrEx>
          <w:tblCellMar>
            <w:top w:w="0" w:type="dxa"/>
            <w:left w:w="108" w:type="dxa"/>
            <w:bottom w:w="0" w:type="dxa"/>
            <w:right w:w="108" w:type="dxa"/>
          </w:tblCellMar>
        </w:tblPrEx>
        <w:trPr>
          <w:trHeight w:val="330"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vMerge w:val="continue"/>
            <w:tcBorders>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不断优化和提升全区事业单位人才结构</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sz w:val="24"/>
              </w:rPr>
            </w:pPr>
            <w:r>
              <w:rPr>
                <w:rFonts w:hint="eastAsia" w:ascii="宋体" w:hAnsi="宋体" w:eastAsia="宋体" w:cs="宋体"/>
                <w:kern w:val="0"/>
                <w:sz w:val="24"/>
              </w:rPr>
              <w:t>不断优化和提升全区事业单位人才结构</w:t>
            </w:r>
          </w:p>
        </w:tc>
      </w:tr>
      <w:tr>
        <w:tblPrEx>
          <w:tblCellMar>
            <w:top w:w="0" w:type="dxa"/>
            <w:left w:w="108" w:type="dxa"/>
            <w:bottom w:w="0" w:type="dxa"/>
            <w:right w:w="108" w:type="dxa"/>
          </w:tblCellMar>
        </w:tblPrEx>
        <w:trPr>
          <w:trHeight w:val="495" w:hRule="atLeast"/>
        </w:trPr>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sz w:val="24"/>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sz w:val="24"/>
              </w:rPr>
            </w:pPr>
            <w:r>
              <w:rPr>
                <w:rFonts w:hint="eastAsia" w:ascii="宋体" w:hAnsi="宋体" w:eastAsia="宋体" w:cs="宋体"/>
                <w:kern w:val="0"/>
                <w:sz w:val="24"/>
              </w:rPr>
              <w:t>满意度指标</w:t>
            </w:r>
          </w:p>
        </w:tc>
        <w:tc>
          <w:tcPr>
            <w:tcW w:w="18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服务对象满意度</w:t>
            </w:r>
          </w:p>
        </w:tc>
        <w:tc>
          <w:tcPr>
            <w:tcW w:w="45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sz w:val="24"/>
              </w:rPr>
            </w:pPr>
            <w:r>
              <w:rPr>
                <w:rFonts w:hint="eastAsia" w:ascii="宋体" w:hAnsi="宋体" w:eastAsia="宋体" w:cs="宋体"/>
                <w:sz w:val="24"/>
              </w:rPr>
              <w:t>≥90%</w:t>
            </w:r>
          </w:p>
        </w:tc>
      </w:tr>
    </w:tbl>
    <w:p/>
    <w:sectPr>
      <w:pgSz w:w="11906" w:h="16838"/>
      <w:pgMar w:top="873" w:right="1406" w:bottom="816" w:left="146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69C3"/>
    <w:rsid w:val="000241F9"/>
    <w:rsid w:val="00051E5E"/>
    <w:rsid w:val="000576BD"/>
    <w:rsid w:val="00072313"/>
    <w:rsid w:val="00096B6C"/>
    <w:rsid w:val="000B0985"/>
    <w:rsid w:val="000D29EA"/>
    <w:rsid w:val="00114D05"/>
    <w:rsid w:val="00121691"/>
    <w:rsid w:val="0015201C"/>
    <w:rsid w:val="00165E1C"/>
    <w:rsid w:val="001979E0"/>
    <w:rsid w:val="001B6DBE"/>
    <w:rsid w:val="001D01E0"/>
    <w:rsid w:val="001D3C6D"/>
    <w:rsid w:val="002518BB"/>
    <w:rsid w:val="002654BC"/>
    <w:rsid w:val="00282C80"/>
    <w:rsid w:val="002C15A0"/>
    <w:rsid w:val="004338C1"/>
    <w:rsid w:val="00457711"/>
    <w:rsid w:val="00470671"/>
    <w:rsid w:val="004D1324"/>
    <w:rsid w:val="00504295"/>
    <w:rsid w:val="00516C76"/>
    <w:rsid w:val="0056696B"/>
    <w:rsid w:val="005B561A"/>
    <w:rsid w:val="005C60CA"/>
    <w:rsid w:val="00627114"/>
    <w:rsid w:val="00662F2F"/>
    <w:rsid w:val="00690E2C"/>
    <w:rsid w:val="006C5D7E"/>
    <w:rsid w:val="00707486"/>
    <w:rsid w:val="0076715B"/>
    <w:rsid w:val="007A4A43"/>
    <w:rsid w:val="007F7089"/>
    <w:rsid w:val="008244C4"/>
    <w:rsid w:val="008876EC"/>
    <w:rsid w:val="008F23AD"/>
    <w:rsid w:val="009369C3"/>
    <w:rsid w:val="00937BBB"/>
    <w:rsid w:val="009910C7"/>
    <w:rsid w:val="00997CF0"/>
    <w:rsid w:val="009B17F5"/>
    <w:rsid w:val="00A05950"/>
    <w:rsid w:val="00A62A6C"/>
    <w:rsid w:val="00AA4283"/>
    <w:rsid w:val="00AB2162"/>
    <w:rsid w:val="00AE33B3"/>
    <w:rsid w:val="00AF0349"/>
    <w:rsid w:val="00B14CB1"/>
    <w:rsid w:val="00B64ADC"/>
    <w:rsid w:val="00BC0D2D"/>
    <w:rsid w:val="00C52018"/>
    <w:rsid w:val="00C75F54"/>
    <w:rsid w:val="00CB516C"/>
    <w:rsid w:val="00D8394C"/>
    <w:rsid w:val="00D95C00"/>
    <w:rsid w:val="00DD23B0"/>
    <w:rsid w:val="00DF437B"/>
    <w:rsid w:val="00E64196"/>
    <w:rsid w:val="00E955B3"/>
    <w:rsid w:val="00EA55B0"/>
    <w:rsid w:val="00EB4736"/>
    <w:rsid w:val="00ED2ECF"/>
    <w:rsid w:val="00F57E5D"/>
    <w:rsid w:val="00F63846"/>
    <w:rsid w:val="00FE783C"/>
    <w:rsid w:val="0AF8103C"/>
    <w:rsid w:val="0C724407"/>
    <w:rsid w:val="14D911BD"/>
    <w:rsid w:val="18463EA2"/>
    <w:rsid w:val="1ABC485F"/>
    <w:rsid w:val="1D266A0B"/>
    <w:rsid w:val="1E7F6A2F"/>
    <w:rsid w:val="20401B1F"/>
    <w:rsid w:val="20EA55E7"/>
    <w:rsid w:val="23750970"/>
    <w:rsid w:val="26C96C7F"/>
    <w:rsid w:val="26EE071D"/>
    <w:rsid w:val="2769195B"/>
    <w:rsid w:val="27E30CC4"/>
    <w:rsid w:val="2A7D193E"/>
    <w:rsid w:val="2D960A23"/>
    <w:rsid w:val="303625F7"/>
    <w:rsid w:val="306C468B"/>
    <w:rsid w:val="33652FC9"/>
    <w:rsid w:val="3550415A"/>
    <w:rsid w:val="36AF76BE"/>
    <w:rsid w:val="3F167D0F"/>
    <w:rsid w:val="40E927B2"/>
    <w:rsid w:val="459E35F9"/>
    <w:rsid w:val="485C1413"/>
    <w:rsid w:val="49943FFC"/>
    <w:rsid w:val="4B7324F9"/>
    <w:rsid w:val="4BE46476"/>
    <w:rsid w:val="4CE36F4D"/>
    <w:rsid w:val="4D2E210F"/>
    <w:rsid w:val="52502089"/>
    <w:rsid w:val="52FC66DC"/>
    <w:rsid w:val="537853AC"/>
    <w:rsid w:val="55246821"/>
    <w:rsid w:val="56312D95"/>
    <w:rsid w:val="567D03A1"/>
    <w:rsid w:val="593E5CD5"/>
    <w:rsid w:val="59F839B6"/>
    <w:rsid w:val="5E875C48"/>
    <w:rsid w:val="606A350B"/>
    <w:rsid w:val="665B67B2"/>
    <w:rsid w:val="67886DF2"/>
    <w:rsid w:val="6A5E1B8C"/>
    <w:rsid w:val="6E354262"/>
    <w:rsid w:val="710864C2"/>
    <w:rsid w:val="71172F17"/>
    <w:rsid w:val="7C7D7B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61"/>
    <w:basedOn w:val="6"/>
    <w:qFormat/>
    <w:uiPriority w:val="0"/>
    <w:rPr>
      <w:rFonts w:hint="default" w:ascii="Times New Roman" w:hAnsi="Times New Roman" w:cs="Times New Roman"/>
      <w:color w:val="000000"/>
      <w:sz w:val="24"/>
      <w:szCs w:val="24"/>
      <w:u w:val="none"/>
    </w:rPr>
  </w:style>
  <w:style w:type="character" w:customStyle="1" w:styleId="8">
    <w:name w:val="font1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hint="eastAsia" w:ascii="宋体" w:hAnsi="宋体" w:eastAsia="宋体" w:cs="宋体"/>
      <w:color w:val="000000"/>
      <w:sz w:val="20"/>
      <w:szCs w:val="20"/>
      <w:u w:val="none"/>
    </w:rPr>
  </w:style>
  <w:style w:type="character" w:customStyle="1" w:styleId="10">
    <w:name w:val="font21"/>
    <w:basedOn w:val="6"/>
    <w:qFormat/>
    <w:uiPriority w:val="0"/>
    <w:rPr>
      <w:rFonts w:hint="eastAsia" w:ascii="宋体" w:hAnsi="宋体" w:eastAsia="宋体" w:cs="宋体"/>
      <w:color w:val="000000"/>
      <w:sz w:val="24"/>
      <w:szCs w:val="24"/>
      <w:u w:val="none"/>
    </w:rPr>
  </w:style>
  <w:style w:type="character" w:customStyle="1" w:styleId="11">
    <w:name w:val="批注框文本 Char"/>
    <w:basedOn w:val="6"/>
    <w:link w:val="2"/>
    <w:uiPriority w:val="0"/>
    <w:rPr>
      <w:rFonts w:asciiTheme="minorHAnsi" w:hAnsiTheme="minorHAnsi" w:eastAsiaTheme="minorEastAsia" w:cstheme="minorBidi"/>
      <w:kern w:val="2"/>
      <w:sz w:val="18"/>
      <w:szCs w:val="18"/>
    </w:rPr>
  </w:style>
  <w:style w:type="character" w:customStyle="1" w:styleId="12">
    <w:name w:val="页眉 Char"/>
    <w:basedOn w:val="6"/>
    <w:link w:val="4"/>
    <w:qFormat/>
    <w:uiPriority w:val="0"/>
    <w:rPr>
      <w:rFonts w:asciiTheme="minorHAnsi" w:hAnsiTheme="minorHAnsi" w:eastAsiaTheme="minorEastAsia" w:cstheme="minorBidi"/>
      <w:kern w:val="2"/>
      <w:sz w:val="18"/>
      <w:szCs w:val="18"/>
    </w:rPr>
  </w:style>
  <w:style w:type="character" w:customStyle="1" w:styleId="13">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31F61-EE25-41EE-8B74-E386B3FC8A90}">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1175</Words>
  <Characters>6703</Characters>
  <Lines>55</Lines>
  <Paragraphs>15</Paragraphs>
  <TotalTime>1</TotalTime>
  <ScaleCrop>false</ScaleCrop>
  <LinksUpToDate>false</LinksUpToDate>
  <CharactersWithSpaces>7863</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2026-01-12T03:28:00Z</dcterms:created>
  <dc:creator>Administrator</dc:creator>
  <cp:lastModifiedBy>龙柱洵</cp:lastModifiedBy>
  <cp:lastPrinted>2026-01-09T01:01:00Z</cp:lastPrinted>
  <dcterms:modified xsi:type="dcterms:W3CDTF">2026-01-22T08:40:09Z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B0B39D5B26F6482486A47FD37A7DD639_13</vt:lpwstr>
  </property>
  <property fmtid="{D5CDD505-2E9C-101B-9397-08002B2CF9AE}" pid="4" name="KSOTemplateDocerSaveRecord">
    <vt:lpwstr>eyJoZGlkIjoiMzIyMWY1YzE0M2MyYTA0OWRjZmNjZTViY2JkNTYyNWIiLCJ1c2VySWQiOiIxNjU2OTI1NjQyIn0=</vt:lpwstr>
  </property>
</Properties>
</file>